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fixed"/>
        <w:tblCellMar>
          <w:top w:w="0" w:type="dxa"/>
          <w:left w:w="28" w:type="dxa"/>
          <w:bottom w:w="0" w:type="dxa"/>
          <w:right w:w="28" w:type="dxa"/>
        </w:tblCellMar>
      </w:tblPr>
      <w:tblGrid>
        <w:gridCol w:w="6702"/>
        <w:gridCol w:w="2218"/>
      </w:tblGrid>
      <w:tr>
        <w:tblPrEx>
          <w:tblCellMar>
            <w:top w:w="0" w:type="dxa"/>
            <w:left w:w="28" w:type="dxa"/>
            <w:bottom w:w="0" w:type="dxa"/>
            <w:right w:w="28" w:type="dxa"/>
          </w:tblCellMar>
        </w:tblPrEx>
        <w:trPr>
          <w:trHeight w:val="483"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hint="default" w:ascii="黑体" w:hAnsi="黑体" w:eastAsia="黑体"/>
                <w:sz w:val="32"/>
                <w:szCs w:val="36"/>
                <w:lang w:val="en"/>
              </w:rPr>
            </w:pPr>
            <w:bookmarkStart w:id="0" w:name="PO_fhj"/>
            <w:r>
              <w:rPr>
                <w:rFonts w:hint="default" w:ascii="黑体" w:hAnsi="黑体" w:eastAsia="黑体"/>
                <w:sz w:val="32"/>
                <w:szCs w:val="36"/>
                <w:lang w:val="en"/>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632"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6702" w:type="dxa"/>
            <w:noWrap w:val="0"/>
            <w:vAlign w:val="center"/>
          </w:tcPr>
          <w:p>
            <w:pPr>
              <w:adjustRightInd w:val="0"/>
              <w:snapToGrid w:val="0"/>
              <w:spacing w:before="100" w:beforeAutospacing="1" w:after="100" w:afterAutospacing="1" w:line="1180" w:lineRule="exact"/>
              <w:jc w:val="distribute"/>
              <w:textAlignment w:val="bottom"/>
              <w:rPr>
                <w:rFonts w:hint="default" w:ascii="方正小标宋简体" w:eastAsia="方正小标宋简体"/>
                <w:b/>
                <w:bCs/>
                <w:color w:val="FF0000"/>
                <w:sz w:val="84"/>
                <w:szCs w:val="84"/>
                <w:lang w:val="en"/>
              </w:rPr>
            </w:pPr>
            <w:bookmarkStart w:id="1" w:name="PO_fhead1"/>
            <w:r>
              <w:rPr>
                <w:rFonts w:hint="default" w:ascii="方正小标宋简体" w:eastAsia="方正小标宋简体"/>
                <w:b/>
                <w:bCs/>
                <w:color w:val="FF0000"/>
                <w:sz w:val="84"/>
                <w:szCs w:val="84"/>
                <w:lang w:val="en"/>
              </w:rPr>
              <w:t>福建省财政厅</w:t>
            </w:r>
          </w:p>
          <w:p>
            <w:pPr>
              <w:adjustRightInd w:val="0"/>
              <w:snapToGrid w:val="0"/>
              <w:spacing w:before="100" w:beforeAutospacing="1" w:after="100" w:afterAutospacing="1" w:line="1180" w:lineRule="exact"/>
              <w:jc w:val="distribute"/>
              <w:textAlignment w:val="bottom"/>
              <w:rPr>
                <w:rFonts w:hint="default" w:ascii="方正小标宋简体" w:eastAsia="方正小标宋简体"/>
                <w:b/>
                <w:bCs/>
                <w:color w:val="FF0000"/>
                <w:sz w:val="84"/>
                <w:szCs w:val="84"/>
                <w:lang w:val="en"/>
              </w:rPr>
            </w:pPr>
            <w:r>
              <w:rPr>
                <w:rFonts w:hint="default" w:ascii="方正小标宋简体" w:eastAsia="方正小标宋简体"/>
                <w:b/>
                <w:bCs/>
                <w:color w:val="FF0000"/>
                <w:sz w:val="84"/>
                <w:szCs w:val="84"/>
                <w:lang w:val="en"/>
              </w:rPr>
              <w:t>福建省教育厅</w:t>
            </w:r>
            <w:bookmarkEnd w:id="1"/>
          </w:p>
        </w:tc>
        <w:tc>
          <w:tcPr>
            <w:tcW w:w="2218" w:type="dxa"/>
            <w:noWrap w:val="0"/>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52"/>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noWrap w:val="0"/>
            <w:vAlign w:val="bottom"/>
          </w:tcPr>
          <w:p>
            <w:pPr>
              <w:adjustRightInd w:val="0"/>
              <w:snapToGrid w:val="0"/>
              <w:spacing w:before="120" w:line="318" w:lineRule="atLeast"/>
              <w:ind w:right="339" w:firstLine="253" w:firstLineChars="80"/>
              <w:jc w:val="center"/>
              <w:textAlignment w:val="bottom"/>
              <w:rPr>
                <w:rFonts w:hint="default" w:ascii="仿宋" w:hAnsi="仿宋" w:eastAsia="仿宋"/>
                <w:lang w:val="en" w:eastAsia="zh-CN"/>
              </w:rPr>
            </w:pPr>
            <w:bookmarkStart w:id="3" w:name="PO_fwh"/>
            <w:r>
              <w:rPr>
                <w:rFonts w:hint="default" w:ascii="仿宋" w:hAnsi="仿宋" w:eastAsia="仿宋" w:cs="仿宋"/>
                <w:sz w:val="32"/>
                <w:szCs w:val="36"/>
                <w:lang w:val="en"/>
              </w:rPr>
              <w:t>闽财</w:t>
            </w:r>
            <w:r>
              <w:rPr>
                <w:rFonts w:hint="eastAsia" w:ascii="仿宋" w:hAnsi="仿宋" w:eastAsia="仿宋" w:cs="仿宋"/>
                <w:sz w:val="32"/>
                <w:szCs w:val="36"/>
                <w:lang w:val="en" w:eastAsia="zh-CN"/>
              </w:rPr>
              <w:t>规</w:t>
            </w:r>
            <w:r>
              <w:rPr>
                <w:rFonts w:hint="default" w:ascii="仿宋" w:hAnsi="仿宋" w:eastAsia="仿宋" w:cs="仿宋"/>
                <w:sz w:val="32"/>
                <w:szCs w:val="36"/>
                <w:lang w:val="en"/>
              </w:rPr>
              <w:t>〔2022〕1</w:t>
            </w:r>
            <w:r>
              <w:rPr>
                <w:rFonts w:hint="eastAsia" w:ascii="仿宋" w:hAnsi="仿宋" w:eastAsia="仿宋" w:cs="仿宋"/>
                <w:sz w:val="32"/>
                <w:szCs w:val="36"/>
                <w:lang w:val="en-US" w:eastAsia="zh-CN"/>
              </w:rPr>
              <w:t>4</w:t>
            </w:r>
            <w:bookmarkStart w:id="8" w:name="_GoBack"/>
            <w:bookmarkEnd w:id="8"/>
            <w:r>
              <w:rPr>
                <w:rFonts w:hint="default" w:ascii="仿宋" w:hAnsi="仿宋" w:eastAsia="仿宋" w:cs="仿宋"/>
                <w:sz w:val="32"/>
                <w:szCs w:val="36"/>
                <w:lang w:val="en"/>
              </w:rPr>
              <w:t>号</w:t>
            </w:r>
            <w:bookmarkEnd w:id="3"/>
          </w:p>
        </w:tc>
      </w:tr>
      <w:tr>
        <w:tblPrEx>
          <w:tblCellMar>
            <w:top w:w="0" w:type="dxa"/>
            <w:left w:w="28" w:type="dxa"/>
            <w:bottom w:w="0" w:type="dxa"/>
            <w:right w:w="28" w:type="dxa"/>
          </w:tblCellMar>
        </w:tblPrEx>
        <w:trPr>
          <w:trHeight w:val="92" w:hRule="exact"/>
        </w:trPr>
        <w:tc>
          <w:tcPr>
            <w:tcW w:w="8920" w:type="dxa"/>
            <w:gridSpan w:val="2"/>
            <w:noWrap w:val="0"/>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top:5.65pt;height:0pt;width:441.05pt;mso-position-horizontal:center;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rPr>
          <w:rFonts w:hint="eastAsia" w:ascii="仿宋" w:hAnsi="仿宋" w:eastAsia="仿宋" w:cs="仿宋"/>
          <w:sz w:val="32"/>
          <w:szCs w:val="36"/>
        </w:rPr>
      </w:pPr>
    </w:p>
    <w:p>
      <w:pPr>
        <w:snapToGrid w:val="0"/>
        <w:jc w:val="center"/>
        <w:rPr>
          <w:rFonts w:hint="eastAsia" w:ascii="宋体" w:hAnsi="宋体" w:eastAsia="方正小标宋简体" w:cs="宋体"/>
          <w:sz w:val="44"/>
          <w:szCs w:val="44"/>
          <w:lang w:eastAsia="zh-CN"/>
        </w:rPr>
      </w:pPr>
      <w:r>
        <w:rPr>
          <w:rFonts w:hint="eastAsia" w:ascii="方正小标宋简体" w:hAnsi="仿宋" w:eastAsia="方正小标宋简体"/>
          <w:sz w:val="44"/>
          <w:szCs w:val="44"/>
          <w:lang w:eastAsia="zh-CN"/>
        </w:rPr>
        <w:t>福建省财政厅 福建省教育厅关于印发《福建省教师队伍建设专项资金管理办法》的通知</w:t>
      </w:r>
    </w:p>
    <w:p>
      <w:pPr>
        <w:rPr>
          <w:rFonts w:hint="eastAsia" w:ascii="仿宋" w:hAnsi="仿宋" w:eastAsia="仿宋"/>
          <w:sz w:val="32"/>
          <w:szCs w:val="36"/>
        </w:rPr>
      </w:pPr>
    </w:p>
    <w:p>
      <w:pPr>
        <w:spacing w:line="560" w:lineRule="atLeast"/>
        <w:ind w:firstLine="0" w:firstLineChars="0"/>
        <w:jc w:val="left"/>
        <w:rPr>
          <w:rFonts w:hint="eastAsia" w:ascii="仿宋" w:hAnsi="仿宋" w:eastAsia="仿宋"/>
        </w:rPr>
      </w:pPr>
      <w:r>
        <w:rPr>
          <w:rFonts w:hint="eastAsia" w:ascii="仿宋" w:hAnsi="仿宋" w:eastAsia="仿宋"/>
          <w:sz w:val="32"/>
          <w:szCs w:val="32"/>
          <w:lang w:eastAsia="zh-CN"/>
        </w:rPr>
        <w:t>各市（县、区）财政局、教育局，平潭综合实验区财政金融局、社会事业局，各省属学校，职业院校、省教育厅各直属单位</w:t>
      </w:r>
      <w:r>
        <w:rPr>
          <w:rFonts w:hint="eastAsia" w:ascii="仿宋" w:hAnsi="仿宋" w:eastAsia="仿宋"/>
          <w:sz w:val="32"/>
          <w:szCs w:val="32"/>
        </w:rPr>
        <w:t>：</w:t>
      </w:r>
    </w:p>
    <w:p>
      <w:pPr>
        <w:keepNext w:val="0"/>
        <w:keepLines w:val="0"/>
        <w:pageBreakBefore w:val="0"/>
        <w:kinsoku/>
        <w:wordWrap/>
        <w:overflowPunct/>
        <w:topLinePunct w:val="0"/>
        <w:autoSpaceDE/>
        <w:autoSpaceDN/>
        <w:bidi w:val="0"/>
        <w:adjustRightInd/>
        <w:snapToGrid w:val="0"/>
        <w:spacing w:line="560" w:lineRule="atLeas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为规范和加强教师队伍建设专项资金管理，提高资金使用效益，根据《福建省人民政府办公厅关于印发福建省省级零基预算改革实施方案的通知》（闽政办〔2020〕65号）</w:t>
      </w:r>
      <w:r>
        <w:rPr>
          <w:rFonts w:hint="eastAsia" w:ascii="仿宋" w:hAnsi="仿宋" w:eastAsia="仿宋" w:cs="仿宋"/>
          <w:sz w:val="32"/>
          <w:szCs w:val="32"/>
        </w:rPr>
        <w:t>《福建省省级财政专项资金管理办法》（</w:t>
      </w:r>
      <w:r>
        <w:rPr>
          <w:rFonts w:hint="eastAsia" w:ascii="仿宋" w:hAnsi="仿宋" w:eastAsia="仿宋" w:cs="仿宋"/>
          <w:sz w:val="32"/>
          <w:szCs w:val="32"/>
          <w:lang w:eastAsia="zh-CN"/>
        </w:rPr>
        <w:t>福建省人民</w:t>
      </w:r>
      <w:r>
        <w:rPr>
          <w:rFonts w:hint="eastAsia" w:ascii="仿宋" w:hAnsi="仿宋" w:eastAsia="仿宋" w:cs="仿宋"/>
          <w:sz w:val="32"/>
          <w:szCs w:val="32"/>
        </w:rPr>
        <w:t>政府令第131号）</w:t>
      </w:r>
      <w:r>
        <w:rPr>
          <w:rFonts w:hint="eastAsia" w:ascii="仿宋" w:hAnsi="仿宋" w:eastAsia="仿宋" w:cs="仿宋"/>
          <w:color w:val="auto"/>
          <w:sz w:val="32"/>
          <w:szCs w:val="32"/>
        </w:rPr>
        <w:t>等文件精神，省财政厅、教育厅制定了《福建省教师队伍建设专项资金管理办法》，现予印发，请遵照执行。</w:t>
      </w:r>
    </w:p>
    <w:p>
      <w:pPr>
        <w:ind w:firstLine="632" w:firstLineChars="200"/>
        <w:rPr>
          <w:rFonts w:hint="eastAsia" w:ascii="仿宋" w:hAnsi="仿宋" w:eastAsia="仿宋" w:cs="仿宋"/>
          <w:sz w:val="32"/>
          <w:szCs w:val="32"/>
        </w:rPr>
      </w:pPr>
    </w:p>
    <w:tbl>
      <w:tblPr>
        <w:tblStyle w:val="4"/>
        <w:tblW w:w="5000" w:type="pct"/>
        <w:tblInd w:w="0" w:type="dxa"/>
        <w:tblLayout w:type="autofit"/>
        <w:tblCellMar>
          <w:top w:w="0" w:type="dxa"/>
          <w:left w:w="108" w:type="dxa"/>
          <w:bottom w:w="0" w:type="dxa"/>
          <w:right w:w="108" w:type="dxa"/>
        </w:tblCellMar>
      </w:tblPr>
      <w:tblGrid>
        <w:gridCol w:w="4183"/>
        <w:gridCol w:w="4878"/>
      </w:tblGrid>
      <w:tr>
        <w:tblPrEx>
          <w:tblCellMar>
            <w:top w:w="0" w:type="dxa"/>
            <w:left w:w="108" w:type="dxa"/>
            <w:bottom w:w="0" w:type="dxa"/>
            <w:right w:w="108" w:type="dxa"/>
          </w:tblCellMar>
        </w:tblPrEx>
        <w:trPr>
          <w:trHeight w:val="624" w:hRule="atLeast"/>
        </w:trPr>
        <w:tc>
          <w:tcPr>
            <w:tcW w:w="2308"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福建省财政厅</w:t>
            </w:r>
          </w:p>
        </w:tc>
        <w:tc>
          <w:tcPr>
            <w:tcW w:w="2691"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福建省教育厅</w:t>
            </w:r>
          </w:p>
        </w:tc>
      </w:tr>
      <w:tr>
        <w:tblPrEx>
          <w:tblCellMar>
            <w:top w:w="0" w:type="dxa"/>
            <w:left w:w="108" w:type="dxa"/>
            <w:bottom w:w="0" w:type="dxa"/>
            <w:right w:w="108" w:type="dxa"/>
          </w:tblCellMar>
        </w:tblPrEx>
        <w:trPr>
          <w:trHeight w:val="308" w:hRule="atLeast"/>
        </w:trPr>
        <w:tc>
          <w:tcPr>
            <w:tcW w:w="5000" w:type="pct"/>
            <w:gridSpan w:val="2"/>
            <w:noWrap w:val="0"/>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rightChars="0"/>
              <w:jc w:val="right"/>
              <w:textAlignment w:val="auto"/>
              <w:rPr>
                <w:rFonts w:hint="default" w:ascii="仿宋" w:hAnsi="仿宋" w:eastAsia="仿宋" w:cs="仿宋"/>
                <w:color w:val="000000"/>
                <w:sz w:val="32"/>
                <w:szCs w:val="32"/>
                <w:lang w:val="en-US"/>
              </w:rPr>
            </w:pPr>
            <w:r>
              <w:rPr>
                <w:rFonts w:hint="eastAsia" w:ascii="仿宋" w:hAnsi="仿宋" w:eastAsia="仿宋" w:cs="仿宋"/>
                <w:color w:val="000000"/>
                <w:sz w:val="32"/>
                <w:szCs w:val="32"/>
                <w:lang w:val="en-US" w:eastAsia="zh-CN"/>
              </w:rPr>
              <w:t>2022年6月</w:t>
            </w:r>
            <w:r>
              <w:rPr>
                <w:rFonts w:hint="default" w:ascii="仿宋" w:hAnsi="仿宋" w:eastAsia="仿宋" w:cs="仿宋"/>
                <w:color w:val="000000"/>
                <w:sz w:val="32"/>
                <w:szCs w:val="32"/>
                <w:lang w:val="en" w:eastAsia="zh-CN"/>
              </w:rPr>
              <w:t>24</w:t>
            </w:r>
            <w:r>
              <w:rPr>
                <w:rFonts w:hint="eastAsia" w:ascii="仿宋" w:hAnsi="仿宋" w:eastAsia="仿宋" w:cs="仿宋"/>
                <w:color w:val="000000"/>
                <w:sz w:val="32"/>
                <w:szCs w:val="32"/>
                <w:lang w:val="en-US" w:eastAsia="zh-CN"/>
              </w:rPr>
              <w:t xml:space="preserve">日       </w:t>
            </w:r>
          </w:p>
        </w:tc>
      </w:tr>
    </w:tbl>
    <w:p>
      <w:pP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w:t>
      </w:r>
      <w:r>
        <w:rPr>
          <w:rFonts w:hint="eastAsia" w:ascii="仿宋" w:hAnsi="仿宋" w:eastAsia="仿宋" w:cs="仿宋"/>
          <w:color w:val="000000"/>
          <w:sz w:val="32"/>
          <w:szCs w:val="32"/>
          <w:lang w:eastAsia="zh-CN"/>
        </w:rPr>
        <w:t xml:space="preserve"> </w:t>
      </w:r>
    </w:p>
    <w:p>
      <w:pPr>
        <w:rPr>
          <w:rFonts w:hint="eastAsia" w:ascii="仿宋" w:hAnsi="仿宋" w:eastAsia="仿宋" w:cs="仿宋"/>
          <w:sz w:val="32"/>
          <w:szCs w:val="36"/>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760" w:lineRule="exact"/>
        <w:ind w:left="0" w:leftChars="0" w:firstLine="0" w:firstLineChars="0"/>
        <w:jc w:val="center"/>
        <w:textAlignment w:val="auto"/>
        <w:rPr>
          <w:rFonts w:hint="eastAsia"/>
          <w:color w:val="auto"/>
          <w:lang w:eastAsia="zh-CN"/>
        </w:rPr>
      </w:pPr>
      <w:r>
        <w:rPr>
          <w:rFonts w:hint="eastAsia" w:ascii="方正小标宋简体" w:hAnsi="方正小标宋简体" w:eastAsia="方正小标宋简体" w:cs="方正小标宋简体"/>
          <w:color w:val="auto"/>
          <w:sz w:val="44"/>
          <w:szCs w:val="44"/>
          <w:lang w:eastAsia="zh-CN"/>
        </w:rPr>
        <w:t>福建省教师队伍建设专项资金管理办法</w:t>
      </w:r>
    </w:p>
    <w:p>
      <w:pPr>
        <w:pStyle w:val="8"/>
        <w:shd w:val="clear" w:color="auto" w:fill="auto"/>
        <w:spacing w:before="0" w:after="0" w:line="540" w:lineRule="exact"/>
        <w:rPr>
          <w:rFonts w:hint="eastAsia" w:ascii="黑体" w:hAnsi="黑体" w:eastAsia="黑体" w:cs="黑体"/>
          <w:sz w:val="32"/>
          <w:szCs w:val="32"/>
          <w:lang w:eastAsia="zh-CN"/>
        </w:rPr>
      </w:pPr>
    </w:p>
    <w:p>
      <w:pPr>
        <w:pStyle w:val="8"/>
        <w:shd w:val="clear" w:color="auto" w:fill="auto"/>
        <w:spacing w:before="0" w:after="0" w:line="540" w:lineRule="exact"/>
        <w:rPr>
          <w:rFonts w:hint="eastAsia"/>
          <w:color w:val="auto"/>
          <w:lang w:eastAsia="zh-CN"/>
        </w:rPr>
      </w:pPr>
      <w:r>
        <w:rPr>
          <w:rFonts w:hint="eastAsia" w:ascii="黑体" w:hAnsi="黑体" w:eastAsia="黑体" w:cs="黑体"/>
          <w:sz w:val="32"/>
          <w:szCs w:val="32"/>
          <w:lang w:eastAsia="zh-CN"/>
        </w:rPr>
        <w:t>第一章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总则</w:t>
      </w:r>
    </w:p>
    <w:p>
      <w:pPr>
        <w:keepNext w:val="0"/>
        <w:keepLines w:val="0"/>
        <w:pageBreakBefore w:val="0"/>
        <w:widowControl w:val="0"/>
        <w:kinsoku/>
        <w:wordWrap/>
        <w:overflowPunct/>
        <w:topLinePunct w:val="0"/>
        <w:autoSpaceDE/>
        <w:autoSpaceDN/>
        <w:bidi w:val="0"/>
        <w:adjustRightInd/>
        <w:snapToGrid/>
        <w:spacing w:line="560" w:lineRule="atLeas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eastAsia="zh-CN"/>
        </w:rPr>
        <w:t>第一条</w:t>
      </w:r>
      <w:r>
        <w:rPr>
          <w:rFonts w:hint="eastAsia" w:ascii="仿宋" w:hAnsi="仿宋" w:eastAsia="仿宋" w:cs="仿宋"/>
          <w:b/>
          <w:bCs/>
          <w:color w:val="auto"/>
          <w:lang w:val="en-US" w:eastAsia="zh-CN"/>
        </w:rPr>
        <w:t xml:space="preserve">  </w:t>
      </w:r>
      <w:r>
        <w:rPr>
          <w:rFonts w:hint="eastAsia" w:ascii="仿宋" w:hAnsi="仿宋" w:eastAsia="仿宋" w:cs="仿宋"/>
          <w:sz w:val="32"/>
          <w:szCs w:val="32"/>
          <w:lang w:eastAsia="zh-CN"/>
        </w:rPr>
        <w:t>为</w:t>
      </w:r>
      <w:r>
        <w:rPr>
          <w:rFonts w:hint="eastAsia" w:ascii="仿宋" w:hAnsi="仿宋" w:eastAsia="仿宋" w:cs="仿宋"/>
          <w:sz w:val="32"/>
          <w:szCs w:val="32"/>
        </w:rPr>
        <w:t>加强</w:t>
      </w:r>
      <w:r>
        <w:rPr>
          <w:rFonts w:hint="eastAsia" w:ascii="仿宋" w:hAnsi="仿宋" w:eastAsia="仿宋" w:cs="仿宋"/>
          <w:sz w:val="32"/>
          <w:szCs w:val="32"/>
          <w:lang w:eastAsia="zh-CN"/>
        </w:rPr>
        <w:t>福建省</w:t>
      </w:r>
      <w:r>
        <w:rPr>
          <w:rFonts w:hint="eastAsia" w:ascii="仿宋" w:hAnsi="仿宋" w:eastAsia="仿宋" w:cs="仿宋"/>
          <w:color w:val="auto"/>
          <w:sz w:val="32"/>
          <w:szCs w:val="32"/>
        </w:rPr>
        <w:t>教师队伍建设专项资金</w:t>
      </w:r>
      <w:r>
        <w:rPr>
          <w:rFonts w:hint="eastAsia" w:ascii="仿宋" w:hAnsi="仿宋" w:eastAsia="仿宋" w:cs="仿宋"/>
          <w:sz w:val="32"/>
          <w:szCs w:val="32"/>
          <w:lang w:eastAsia="zh-CN"/>
        </w:rPr>
        <w:t>使用和</w:t>
      </w:r>
      <w:r>
        <w:rPr>
          <w:rFonts w:hint="eastAsia" w:ascii="仿宋" w:hAnsi="仿宋" w:eastAsia="仿宋" w:cs="仿宋"/>
          <w:sz w:val="32"/>
          <w:szCs w:val="32"/>
        </w:rPr>
        <w:t>管理，提高资金使用</w:t>
      </w:r>
      <w:r>
        <w:rPr>
          <w:rFonts w:hint="eastAsia" w:ascii="仿宋" w:hAnsi="仿宋" w:eastAsia="仿宋" w:cs="仿宋"/>
          <w:sz w:val="32"/>
          <w:szCs w:val="32"/>
          <w:lang w:eastAsia="zh-CN"/>
        </w:rPr>
        <w:t>效益</w:t>
      </w:r>
      <w:r>
        <w:rPr>
          <w:rFonts w:hint="eastAsia" w:ascii="仿宋" w:hAnsi="仿宋" w:eastAsia="仿宋" w:cs="仿宋"/>
          <w:sz w:val="32"/>
          <w:szCs w:val="32"/>
        </w:rPr>
        <w:t>，</w:t>
      </w:r>
      <w:r>
        <w:rPr>
          <w:rFonts w:hint="eastAsia" w:ascii="仿宋" w:hAnsi="仿宋" w:eastAsia="仿宋" w:cs="仿宋"/>
          <w:color w:val="auto"/>
          <w:sz w:val="32"/>
          <w:szCs w:val="32"/>
        </w:rPr>
        <w:t>根据《福建省人民政府办公厅关于印发福建省省级零基预算改革实施方案的通知》（闽政办〔2020〕65号）</w:t>
      </w:r>
      <w:r>
        <w:rPr>
          <w:rFonts w:hint="eastAsia" w:ascii="仿宋" w:hAnsi="仿宋" w:eastAsia="仿宋" w:cs="仿宋"/>
          <w:sz w:val="32"/>
          <w:szCs w:val="32"/>
        </w:rPr>
        <w:t>《福建省省级财政专项资金管理办法》（</w:t>
      </w:r>
      <w:r>
        <w:rPr>
          <w:rFonts w:hint="eastAsia" w:ascii="仿宋" w:hAnsi="仿宋" w:eastAsia="仿宋" w:cs="仿宋"/>
          <w:sz w:val="32"/>
          <w:szCs w:val="32"/>
          <w:lang w:eastAsia="zh-CN"/>
        </w:rPr>
        <w:t>福建省人民</w:t>
      </w:r>
      <w:r>
        <w:rPr>
          <w:rFonts w:hint="eastAsia" w:ascii="仿宋" w:hAnsi="仿宋" w:eastAsia="仿宋" w:cs="仿宋"/>
          <w:sz w:val="32"/>
          <w:szCs w:val="32"/>
        </w:rPr>
        <w:t>政府令第131号）</w:t>
      </w:r>
      <w:r>
        <w:rPr>
          <w:rFonts w:hint="eastAsia" w:ascii="仿宋" w:hAnsi="仿宋" w:eastAsia="仿宋"/>
          <w:color w:val="000000"/>
          <w:sz w:val="32"/>
          <w:szCs w:val="32"/>
        </w:rPr>
        <w:t>等法律法规和有关规定</w:t>
      </w:r>
      <w:r>
        <w:rPr>
          <w:rFonts w:hint="eastAsia" w:ascii="仿宋" w:hAnsi="仿宋" w:eastAsia="仿宋" w:cs="仿宋"/>
          <w:sz w:val="32"/>
          <w:szCs w:val="32"/>
        </w:rPr>
        <w:t>，制定本办法。</w:t>
      </w:r>
    </w:p>
    <w:p>
      <w:pPr>
        <w:keepNext w:val="0"/>
        <w:keepLines w:val="0"/>
        <w:pageBreakBefore w:val="0"/>
        <w:widowControl w:val="0"/>
        <w:kinsoku/>
        <w:wordWrap/>
        <w:overflowPunct/>
        <w:topLinePunct w:val="0"/>
        <w:autoSpaceDE/>
        <w:autoSpaceDN/>
        <w:bidi w:val="0"/>
        <w:adjustRightInd/>
        <w:snapToGrid/>
        <w:spacing w:line="560" w:lineRule="atLeas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 xml:space="preserve">第二条  </w:t>
      </w:r>
      <w:r>
        <w:rPr>
          <w:rFonts w:hint="eastAsia" w:ascii="仿宋" w:hAnsi="仿宋" w:eastAsia="仿宋" w:cs="仿宋"/>
          <w:color w:val="auto"/>
          <w:lang w:val="en-US" w:eastAsia="zh-CN"/>
        </w:rPr>
        <w:t>本办法所称教师队伍建设专项资金（以下简称“专项资金”）是指由省级财政通过一般公共财政预算安排，主要用于支持我省各级各类学校教师、校长（含教研员，下同）专业发展以及教育管理干部业务能力提升等教师队伍建设相关的专项资金。</w:t>
      </w:r>
    </w:p>
    <w:p>
      <w:pPr>
        <w:keepNext w:val="0"/>
        <w:keepLines w:val="0"/>
        <w:pageBreakBefore w:val="0"/>
        <w:widowControl w:val="0"/>
        <w:kinsoku/>
        <w:wordWrap/>
        <w:overflowPunct/>
        <w:topLinePunct w:val="0"/>
        <w:autoSpaceDE/>
        <w:autoSpaceDN/>
        <w:bidi w:val="0"/>
        <w:adjustRightInd/>
        <w:snapToGrid/>
        <w:spacing w:line="560" w:lineRule="atLeas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 xml:space="preserve">第三条  </w:t>
      </w:r>
      <w:r>
        <w:rPr>
          <w:rFonts w:hint="eastAsia" w:ascii="仿宋" w:hAnsi="仿宋" w:eastAsia="仿宋" w:cs="仿宋"/>
          <w:sz w:val="32"/>
          <w:szCs w:val="32"/>
        </w:rPr>
        <w:t>专项资金管理应当遵循集中财力、突出重点，分类支持、合理配置</w:t>
      </w:r>
      <w:r>
        <w:rPr>
          <w:rFonts w:hint="eastAsia" w:ascii="仿宋" w:hAnsi="仿宋" w:eastAsia="仿宋" w:cs="仿宋"/>
          <w:sz w:val="32"/>
          <w:szCs w:val="32"/>
          <w:lang w:eastAsia="zh-CN"/>
        </w:rPr>
        <w:t>、</w:t>
      </w:r>
      <w:r>
        <w:rPr>
          <w:rFonts w:hint="eastAsia" w:ascii="仿宋" w:hAnsi="仿宋" w:eastAsia="仿宋" w:cs="仿宋"/>
          <w:sz w:val="32"/>
          <w:szCs w:val="32"/>
        </w:rPr>
        <w:t>公开透明、科学规范的原则</w:t>
      </w:r>
      <w:r>
        <w:rPr>
          <w:rFonts w:hint="eastAsia" w:ascii="仿宋" w:hAnsi="仿宋" w:eastAsia="仿宋" w:cs="仿宋"/>
          <w:sz w:val="32"/>
          <w:szCs w:val="32"/>
          <w:lang w:eastAsia="zh-CN"/>
        </w:rPr>
        <w:t>。</w:t>
      </w:r>
    </w:p>
    <w:p>
      <w:pPr>
        <w:pStyle w:val="8"/>
        <w:shd w:val="clear" w:color="auto" w:fill="auto"/>
        <w:spacing w:before="0" w:after="0" w:line="560" w:lineRule="atLeast"/>
        <w:ind w:firstLine="632" w:firstLineChars="200"/>
        <w:jc w:val="both"/>
        <w:rPr>
          <w:rFonts w:hint="eastAsia" w:ascii="仿宋" w:hAnsi="仿宋" w:eastAsia="仿宋" w:cs="仿宋"/>
          <w:color w:val="auto"/>
          <w:sz w:val="32"/>
          <w:szCs w:val="32"/>
          <w:lang w:val="en-US" w:eastAsia="zh-CN"/>
        </w:rPr>
      </w:pPr>
      <w:r>
        <w:rPr>
          <w:rFonts w:hint="eastAsia" w:ascii="仿宋" w:hAnsi="仿宋" w:eastAsia="仿宋" w:cs="仿宋"/>
          <w:b/>
          <w:bCs/>
          <w:sz w:val="32"/>
          <w:szCs w:val="32"/>
          <w:lang w:eastAsia="zh-CN"/>
        </w:rPr>
        <w:t>第四条</w:t>
      </w:r>
      <w:r>
        <w:rPr>
          <w:rFonts w:hint="eastAsia" w:ascii="仿宋" w:hAnsi="仿宋" w:eastAsia="仿宋" w:cs="仿宋"/>
          <w:b/>
          <w:bCs/>
          <w:sz w:val="32"/>
          <w:szCs w:val="32"/>
          <w:lang w:val="en-US" w:eastAsia="zh-CN"/>
        </w:rPr>
        <w:t xml:space="preserve">  </w:t>
      </w:r>
      <w:r>
        <w:rPr>
          <w:rFonts w:hint="eastAsia" w:ascii="仿宋" w:hAnsi="仿宋" w:eastAsia="仿宋" w:cs="仿宋"/>
          <w:color w:val="000000"/>
          <w:kern w:val="0"/>
          <w:sz w:val="32"/>
          <w:szCs w:val="32"/>
        </w:rPr>
        <w:t>专项资金的执行期限为</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年。</w:t>
      </w:r>
    </w:p>
    <w:p>
      <w:pPr>
        <w:pStyle w:val="8"/>
        <w:shd w:val="clear" w:color="auto" w:fill="auto"/>
        <w:spacing w:before="0" w:after="0" w:line="540" w:lineRule="exact"/>
        <w:rPr>
          <w:rFonts w:hint="eastAsia" w:eastAsia="仿宋" w:cs="仿宋"/>
          <w:color w:val="auto"/>
          <w:lang w:val="en-US" w:eastAsia="zh-CN"/>
        </w:rPr>
      </w:pPr>
      <w:r>
        <w:rPr>
          <w:rFonts w:hint="eastAsia" w:ascii="黑体" w:hAnsi="黑体" w:eastAsia="黑体" w:cs="黑体"/>
          <w:sz w:val="32"/>
          <w:szCs w:val="32"/>
          <w:lang w:eastAsia="zh-CN"/>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职责分工</w:t>
      </w:r>
    </w:p>
    <w:p>
      <w:pPr>
        <w:pStyle w:val="8"/>
        <w:shd w:val="clear" w:color="auto" w:fill="auto"/>
        <w:spacing w:before="0" w:after="0" w:line="560" w:lineRule="atLeast"/>
        <w:ind w:firstLine="632" w:firstLineChars="200"/>
        <w:jc w:val="both"/>
        <w:rPr>
          <w:rFonts w:hint="eastAsia" w:ascii="仿宋" w:hAnsi="仿宋" w:eastAsia="仿宋" w:cs="仿宋"/>
          <w:sz w:val="32"/>
          <w:szCs w:val="32"/>
          <w:lang w:eastAsia="zh-CN"/>
        </w:rPr>
      </w:pPr>
      <w:r>
        <w:rPr>
          <w:rFonts w:hint="eastAsia" w:ascii="仿宋" w:hAnsi="仿宋" w:eastAsia="仿宋" w:cs="仿宋"/>
          <w:b/>
          <w:sz w:val="32"/>
          <w:szCs w:val="32"/>
        </w:rPr>
        <w:t>第</w:t>
      </w:r>
      <w:r>
        <w:rPr>
          <w:rFonts w:hint="eastAsia" w:ascii="仿宋" w:hAnsi="仿宋" w:eastAsia="仿宋" w:cs="仿宋"/>
          <w:b/>
          <w:sz w:val="32"/>
          <w:szCs w:val="32"/>
          <w:lang w:eastAsia="zh-CN"/>
        </w:rPr>
        <w:t>五</w:t>
      </w:r>
      <w:r>
        <w:rPr>
          <w:rFonts w:hint="eastAsia" w:ascii="仿宋" w:hAnsi="仿宋" w:eastAsia="仿宋" w:cs="仿宋"/>
          <w:b/>
          <w:sz w:val="32"/>
          <w:szCs w:val="32"/>
        </w:rPr>
        <w:t>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专项资金由省财政厅、省教育厅牵头管理。</w:t>
      </w:r>
    </w:p>
    <w:p>
      <w:pPr>
        <w:spacing w:line="560" w:lineRule="atLeast"/>
        <w:ind w:firstLine="632" w:firstLineChars="200"/>
        <w:rPr>
          <w:rFonts w:hint="eastAsia" w:ascii="仿宋" w:hAnsi="仿宋" w:eastAsia="仿宋" w:cs="仿宋"/>
          <w:sz w:val="32"/>
          <w:szCs w:val="32"/>
        </w:rPr>
      </w:pPr>
      <w:r>
        <w:rPr>
          <w:rFonts w:hint="eastAsia" w:ascii="仿宋" w:hAnsi="仿宋" w:eastAsia="仿宋" w:cs="仿宋"/>
          <w:color w:val="000000"/>
          <w:sz w:val="32"/>
          <w:szCs w:val="32"/>
        </w:rPr>
        <w:t>省财政厅</w:t>
      </w:r>
      <w:r>
        <w:rPr>
          <w:rFonts w:hint="eastAsia" w:ascii="仿宋" w:hAnsi="仿宋" w:eastAsia="仿宋" w:cs="仿宋"/>
          <w:color w:val="000000"/>
          <w:kern w:val="0"/>
          <w:sz w:val="32"/>
          <w:szCs w:val="32"/>
        </w:rPr>
        <w:t>履行下列管理职责：</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（一）负责组织专项资金的预算管理和资金下达；</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lang w:eastAsia="zh-CN"/>
        </w:rPr>
        <w:t>组织和</w:t>
      </w:r>
      <w:r>
        <w:rPr>
          <w:rFonts w:hint="eastAsia" w:ascii="仿宋" w:hAnsi="仿宋" w:eastAsia="仿宋" w:cs="仿宋"/>
          <w:sz w:val="32"/>
          <w:szCs w:val="32"/>
        </w:rPr>
        <w:t>指导省</w:t>
      </w:r>
      <w:r>
        <w:rPr>
          <w:rFonts w:hint="eastAsia" w:ascii="仿宋" w:hAnsi="仿宋" w:eastAsia="仿宋" w:cs="仿宋"/>
          <w:sz w:val="32"/>
          <w:szCs w:val="32"/>
          <w:lang w:eastAsia="zh-CN"/>
        </w:rPr>
        <w:t>教育厅</w:t>
      </w:r>
      <w:r>
        <w:rPr>
          <w:rFonts w:hint="eastAsia" w:ascii="仿宋" w:hAnsi="仿宋" w:eastAsia="仿宋" w:cs="仿宋"/>
          <w:sz w:val="32"/>
          <w:szCs w:val="32"/>
        </w:rPr>
        <w:t>开展专项资金预算绩效管理；</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（三）会同省</w:t>
      </w:r>
      <w:r>
        <w:rPr>
          <w:rFonts w:hint="eastAsia" w:ascii="仿宋" w:hAnsi="仿宋" w:eastAsia="仿宋" w:cs="仿宋"/>
          <w:sz w:val="32"/>
          <w:szCs w:val="32"/>
          <w:lang w:eastAsia="zh-CN"/>
        </w:rPr>
        <w:t>教育厅</w:t>
      </w:r>
      <w:r>
        <w:rPr>
          <w:rFonts w:hint="eastAsia" w:ascii="仿宋" w:hAnsi="仿宋" w:eastAsia="仿宋" w:cs="仿宋"/>
          <w:sz w:val="32"/>
          <w:szCs w:val="32"/>
        </w:rPr>
        <w:t>开展专项资金监督检查。</w:t>
      </w:r>
    </w:p>
    <w:p>
      <w:pPr>
        <w:spacing w:line="560" w:lineRule="atLeast"/>
        <w:ind w:firstLine="632" w:firstLineChars="200"/>
        <w:rPr>
          <w:rFonts w:hint="eastAsia" w:ascii="仿宋" w:hAnsi="仿宋" w:eastAsia="仿宋" w:cs="仿宋"/>
          <w:sz w:val="32"/>
          <w:szCs w:val="32"/>
        </w:rPr>
      </w:pPr>
      <w:r>
        <w:rPr>
          <w:rFonts w:hint="eastAsia" w:ascii="仿宋" w:hAnsi="仿宋" w:eastAsia="仿宋" w:cs="仿宋"/>
          <w:color w:val="000000"/>
          <w:sz w:val="32"/>
          <w:szCs w:val="32"/>
        </w:rPr>
        <w:t>省</w:t>
      </w:r>
      <w:r>
        <w:rPr>
          <w:rFonts w:hint="eastAsia" w:ascii="仿宋" w:hAnsi="仿宋" w:eastAsia="仿宋" w:cs="仿宋"/>
          <w:color w:val="000000"/>
          <w:sz w:val="32"/>
          <w:szCs w:val="32"/>
          <w:lang w:eastAsia="zh-CN"/>
        </w:rPr>
        <w:t>教育</w:t>
      </w:r>
      <w:r>
        <w:rPr>
          <w:rFonts w:hint="eastAsia" w:ascii="仿宋" w:hAnsi="仿宋" w:eastAsia="仿宋" w:cs="仿宋"/>
          <w:color w:val="000000"/>
          <w:sz w:val="32"/>
          <w:szCs w:val="32"/>
        </w:rPr>
        <w:t>厅</w:t>
      </w:r>
      <w:r>
        <w:rPr>
          <w:rFonts w:hint="eastAsia" w:ascii="仿宋" w:hAnsi="仿宋" w:eastAsia="仿宋" w:cs="仿宋"/>
          <w:color w:val="000000"/>
          <w:kern w:val="0"/>
          <w:sz w:val="32"/>
          <w:szCs w:val="32"/>
        </w:rPr>
        <w:t>履行下列管理职责：</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（一）负责专项资金的项目管理，组织项目评审；</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（二）提出专项资金分配建议方案，细化编制年度专项资金预算；</w:t>
      </w:r>
    </w:p>
    <w:p>
      <w:pPr>
        <w:pStyle w:val="9"/>
        <w:spacing w:line="560" w:lineRule="atLeast"/>
        <w:ind w:firstLine="632" w:firstLineChars="200"/>
        <w:rPr>
          <w:rFonts w:hint="eastAsia"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sz w:val="32"/>
          <w:szCs w:val="32"/>
          <w:lang w:eastAsia="zh-CN"/>
        </w:rPr>
        <w:t>实施</w:t>
      </w:r>
      <w:r>
        <w:rPr>
          <w:rFonts w:hint="eastAsia" w:ascii="仿宋" w:hAnsi="仿宋" w:eastAsia="仿宋" w:cs="仿宋"/>
          <w:sz w:val="32"/>
          <w:szCs w:val="32"/>
        </w:rPr>
        <w:t>专项资金预算绩效管理</w:t>
      </w:r>
      <w:r>
        <w:rPr>
          <w:rFonts w:hint="eastAsia" w:ascii="仿宋" w:hAnsi="仿宋" w:eastAsia="仿宋" w:cs="仿宋"/>
          <w:sz w:val="32"/>
          <w:szCs w:val="32"/>
          <w:lang w:eastAsia="zh-CN"/>
        </w:rPr>
        <w:t>，监督专项资金的使用</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60" w:lineRule="atLeas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eastAsia="zh-CN"/>
        </w:rPr>
        <w:t>第六条</w:t>
      </w:r>
      <w:r>
        <w:rPr>
          <w:rFonts w:hint="eastAsia" w:ascii="仿宋" w:hAnsi="仿宋" w:eastAsia="仿宋" w:cs="仿宋"/>
          <w:color w:val="auto"/>
          <w:lang w:val="en-US" w:eastAsia="zh-CN"/>
        </w:rPr>
        <w:t xml:space="preserve">  项目承办单位是专项资金管理主体，负责项目实施、项目管理和绩效管理等工作。项目承办单位应建立健全专项资金使用管理制度，规范资金使用，科学安排资金支出进度。开展专项资金绩效管理，提高资金使用效益。</w:t>
      </w:r>
    </w:p>
    <w:p>
      <w:pPr>
        <w:pStyle w:val="8"/>
        <w:shd w:val="clear" w:color="auto" w:fill="auto"/>
        <w:spacing w:before="0" w:after="0" w:line="540" w:lineRule="exact"/>
        <w:rPr>
          <w:rFonts w:hint="eastAsia" w:eastAsia="仿宋" w:cs="仿宋"/>
          <w:b/>
          <w:bCs/>
          <w:color w:val="auto"/>
          <w:lang w:val="en-US" w:eastAsia="zh-CN"/>
        </w:rPr>
      </w:pPr>
      <w:r>
        <w:rPr>
          <w:rFonts w:hint="eastAsia" w:ascii="黑体" w:hAnsi="黑体" w:eastAsia="黑体" w:cs="黑体"/>
          <w:sz w:val="32"/>
          <w:szCs w:val="32"/>
          <w:lang w:eastAsia="zh-CN"/>
        </w:rPr>
        <w:t>第三章</w:t>
      </w:r>
      <w:r>
        <w:rPr>
          <w:rFonts w:hint="eastAsia" w:ascii="黑体" w:hAnsi="黑体" w:eastAsia="黑体" w:cs="黑体"/>
          <w:sz w:val="32"/>
          <w:szCs w:val="32"/>
          <w:lang w:val="en-US" w:eastAsia="zh-CN"/>
        </w:rPr>
        <w:t xml:space="preserve">  专项资金分配</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第七条</w:t>
      </w:r>
      <w:r>
        <w:rPr>
          <w:rFonts w:hint="eastAsia" w:ascii="仿宋" w:hAnsi="仿宋" w:eastAsia="仿宋" w:cs="仿宋"/>
          <w:color w:val="auto"/>
          <w:lang w:val="en-US" w:eastAsia="zh-CN"/>
        </w:rPr>
        <w:t xml:space="preserve">  根据国家决策部署和我省教师队伍建设实际确定专项资金支持内容。专项资金主要用于以下方面：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（一）师范生培养补助；</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（二）各级各类学校教师校长省级培训、教育管理干部省级培训、省级名优教师校长研修活动补助；</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（三）名优教师校长送教下基层、革命老区县教师跟岗学习、支教人员补助和医疗费用；</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（四）高层次人才培养与引进补助；</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（五）教师队伍建设相关活动和项目，包括</w:t>
      </w:r>
      <w:r>
        <w:rPr>
          <w:rFonts w:hint="eastAsia" w:ascii="仿宋" w:hAnsi="仿宋" w:eastAsia="仿宋" w:cs="仿宋"/>
          <w:color w:val="auto"/>
          <w:lang w:val="en-US" w:eastAsia="zh-CN"/>
        </w:rPr>
        <w:t>教师教学大赛，学术交流活动，全省</w:t>
      </w:r>
      <w:r>
        <w:rPr>
          <w:rFonts w:hint="eastAsia" w:ascii="仿宋" w:hAnsi="仿宋" w:eastAsia="仿宋" w:cs="仿宋"/>
          <w:color w:val="auto"/>
          <w:lang w:eastAsia="zh-CN"/>
        </w:rPr>
        <w:t>教师管理信息化建设，教师进修校</w:t>
      </w:r>
      <w:r>
        <w:rPr>
          <w:rFonts w:hint="eastAsia" w:ascii="仿宋" w:hAnsi="仿宋" w:eastAsia="仿宋" w:cs="仿宋"/>
          <w:color w:val="auto"/>
          <w:highlight w:val="none"/>
          <w:lang w:val="en-US" w:eastAsia="zh-CN"/>
        </w:rPr>
        <w:t>购置设施设备、改善培训条件等</w:t>
      </w:r>
      <w:r>
        <w:rPr>
          <w:rFonts w:hint="eastAsia" w:ascii="仿宋" w:hAnsi="仿宋" w:eastAsia="仿宋" w:cs="仿宋"/>
          <w:color w:val="auto"/>
          <w:highlight w:val="none"/>
          <w:lang w:eastAsia="zh-CN"/>
        </w:rPr>
        <w:t>内涵建设，职业院校教师教学创新团队建设，名师名校长工作室研修帮扶活动，课题研究，相</w:t>
      </w:r>
      <w:r>
        <w:rPr>
          <w:rFonts w:hint="eastAsia" w:ascii="仿宋" w:hAnsi="仿宋" w:eastAsia="仿宋" w:cs="仿宋"/>
          <w:color w:val="auto"/>
          <w:lang w:eastAsia="zh-CN"/>
        </w:rPr>
        <w:t>关项目的视导评估评审经费，省委、</w:t>
      </w:r>
      <w:r>
        <w:rPr>
          <w:rFonts w:hint="eastAsia" w:ascii="仿宋" w:hAnsi="仿宋" w:eastAsia="仿宋" w:cs="仿宋"/>
          <w:color w:val="auto"/>
        </w:rPr>
        <w:t>省政府要求的专项任务</w:t>
      </w:r>
      <w:r>
        <w:rPr>
          <w:rFonts w:hint="eastAsia" w:ascii="仿宋" w:hAnsi="仿宋" w:eastAsia="仿宋" w:cs="仿宋"/>
          <w:color w:val="auto"/>
          <w:lang w:eastAsia="zh-CN"/>
        </w:rPr>
        <w:t>等。</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bCs/>
          <w:color w:val="auto"/>
          <w:lang w:val="en-US" w:eastAsia="zh-CN"/>
        </w:rPr>
      </w:pPr>
      <w:r>
        <w:rPr>
          <w:rFonts w:hint="eastAsia" w:ascii="仿宋" w:hAnsi="仿宋" w:eastAsia="仿宋" w:cs="仿宋"/>
          <w:b/>
          <w:bCs/>
          <w:color w:val="auto"/>
          <w:lang w:eastAsia="zh-CN"/>
        </w:rPr>
        <w:t>第八条</w:t>
      </w:r>
      <w:r>
        <w:rPr>
          <w:rFonts w:hint="eastAsia" w:ascii="仿宋" w:hAnsi="仿宋" w:eastAsia="仿宋" w:cs="仿宋"/>
          <w:color w:val="auto"/>
          <w:lang w:val="en-US" w:eastAsia="zh-CN"/>
        </w:rPr>
        <w:t xml:space="preserve">  专项资金主要采取因素法和项目法进行分配，具体分配办法如下：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第七条第（一）项采用因素法，主要根据各学校招收师范生人数、收费标准等因素分配资金；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（二）第七条第（二）项、（三）项采用项目法和因素法，主要根据年度任务和年度培训或支教人数、标准等因素分配资金；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（三）第七条第（四）项采用因素法，主要根据人才培养和引进有关项目、人数、标准等因素分配奖补资金；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（四）第七条第（五）项采用项目法，主要根据项目任务及实施情况，予以相应补助。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第九条</w:t>
      </w:r>
      <w:r>
        <w:rPr>
          <w:rFonts w:hint="eastAsia" w:ascii="仿宋" w:hAnsi="仿宋" w:eastAsia="仿宋" w:cs="仿宋"/>
          <w:color w:val="auto"/>
          <w:lang w:val="en-US" w:eastAsia="zh-CN"/>
        </w:rPr>
        <w:t xml:space="preserve">  线下集中培训经费标准原则上按《福建省省直机关培训费管理办法》</w:t>
      </w:r>
      <w:r>
        <w:rPr>
          <w:rFonts w:hint="eastAsia" w:ascii="仿宋" w:hAnsi="仿宋" w:eastAsia="仿宋" w:cs="仿宋"/>
          <w:color w:val="auto"/>
          <w:sz w:val="32"/>
          <w:szCs w:val="32"/>
        </w:rPr>
        <w:t>（闽</w:t>
      </w:r>
      <w:r>
        <w:rPr>
          <w:rFonts w:hint="eastAsia" w:ascii="仿宋" w:hAnsi="仿宋" w:eastAsia="仿宋" w:cs="仿宋"/>
          <w:color w:val="auto"/>
          <w:sz w:val="32"/>
          <w:szCs w:val="32"/>
          <w:lang w:eastAsia="zh-CN"/>
        </w:rPr>
        <w:t>财行</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2017</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18</w:t>
      </w:r>
      <w:r>
        <w:rPr>
          <w:rFonts w:hint="eastAsia" w:ascii="仿宋" w:hAnsi="仿宋" w:eastAsia="仿宋" w:cs="仿宋"/>
          <w:color w:val="auto"/>
          <w:sz w:val="32"/>
          <w:szCs w:val="32"/>
        </w:rPr>
        <w:t>号）</w:t>
      </w:r>
      <w:r>
        <w:rPr>
          <w:rFonts w:hint="eastAsia" w:ascii="仿宋" w:hAnsi="仿宋" w:eastAsia="仿宋" w:cs="仿宋"/>
          <w:color w:val="auto"/>
          <w:lang w:val="en-US" w:eastAsia="zh-CN"/>
        </w:rPr>
        <w:t>执行。线上培训参照《关于印发2020年度“国培计划”示范项目在线培训经费标准（暂行）的通知》</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国培办</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2020</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号）</w:t>
      </w:r>
      <w:r>
        <w:rPr>
          <w:rFonts w:hint="eastAsia" w:ascii="仿宋" w:hAnsi="仿宋" w:eastAsia="仿宋" w:cs="仿宋"/>
          <w:color w:val="auto"/>
          <w:lang w:val="en-US" w:eastAsia="zh-CN"/>
        </w:rPr>
        <w:t xml:space="preserve">执行。跟岗学习补助标准为不高于350元/人˙天。  </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第十条  </w:t>
      </w:r>
      <w:r>
        <w:rPr>
          <w:rFonts w:hint="eastAsia" w:ascii="仿宋" w:hAnsi="仿宋" w:eastAsia="仿宋" w:cs="仿宋"/>
          <w:color w:val="auto"/>
          <w:lang w:val="en-US" w:eastAsia="zh-CN"/>
        </w:rPr>
        <w:t>省教育厅、财政厅根据资金分配原则，确定市、县(区）、项目承办单位补助额度，并按规定下达专项资金。</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第十一条</w:t>
      </w:r>
      <w:r>
        <w:rPr>
          <w:rFonts w:hint="eastAsia" w:ascii="仿宋" w:hAnsi="仿宋" w:eastAsia="仿宋" w:cs="仿宋"/>
          <w:color w:val="auto"/>
          <w:lang w:val="en-US" w:eastAsia="zh-CN"/>
        </w:rPr>
        <w:t xml:space="preserve">  培训项目承办单位由省教育厅根据培训任务进行遴选，以我省曾承担省级培训任务的教师教育院校、师范院校、设有师范类专业的高校、具有相关学科（专业）优势的本科高校和职业院校为主。有特殊要求的培训项目，可选择承担过国家级教师培训任务的师范类高校或综合性大学。</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sz w:val="32"/>
          <w:szCs w:val="32"/>
          <w:lang w:val="en-US" w:eastAsia="zh-CN"/>
        </w:rPr>
      </w:pPr>
      <w:r>
        <w:rPr>
          <w:rFonts w:hint="eastAsia" w:ascii="仿宋" w:hAnsi="仿宋" w:eastAsia="仿宋" w:cs="仿宋"/>
          <w:b/>
          <w:bCs/>
          <w:color w:val="auto"/>
          <w:lang w:val="en-US" w:eastAsia="zh-CN"/>
        </w:rPr>
        <w:t xml:space="preserve">第十二条  </w:t>
      </w:r>
      <w:r>
        <w:rPr>
          <w:rFonts w:hint="eastAsia" w:ascii="仿宋" w:hAnsi="仿宋" w:eastAsia="仿宋" w:cs="仿宋"/>
          <w:color w:val="auto"/>
          <w:lang w:val="en-US" w:eastAsia="zh-CN"/>
        </w:rPr>
        <w:t>承办培训培养项目的单位应制定所承担项目的具体实施方案，包括项目任务、预期目标、培训（培养）方式、培训内容、进度安排与完成时间、资金预算等。项目结束后，承办单位应开展项目绩效自评，按规定时间报省教育厅。</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sz w:val="32"/>
          <w:szCs w:val="32"/>
          <w:lang w:val="en-US" w:eastAsia="zh-CN"/>
        </w:rPr>
        <w:t xml:space="preserve">第十三条  </w:t>
      </w:r>
      <w:r>
        <w:rPr>
          <w:rFonts w:hint="eastAsia" w:ascii="仿宋" w:hAnsi="仿宋" w:eastAsia="仿宋" w:cs="仿宋"/>
          <w:sz w:val="32"/>
          <w:szCs w:val="32"/>
          <w:lang w:eastAsia="zh-CN"/>
        </w:rPr>
        <w:t>申报单位应当保证申报材料的真实性，不得以虚报、伪造等手段骗取专项资金</w:t>
      </w:r>
      <w:r>
        <w:rPr>
          <w:rFonts w:hint="eastAsia" w:ascii="仿宋" w:hAnsi="仿宋" w:eastAsia="仿宋" w:cs="仿宋"/>
          <w:sz w:val="32"/>
          <w:szCs w:val="32"/>
        </w:rPr>
        <w:t>。</w:t>
      </w:r>
    </w:p>
    <w:p>
      <w:pPr>
        <w:pStyle w:val="8"/>
        <w:shd w:val="clear" w:color="auto" w:fill="auto"/>
        <w:spacing w:before="0" w:after="0" w:line="540" w:lineRule="exact"/>
        <w:rPr>
          <w:rFonts w:hint="eastAsia" w:eastAsia="仿宋" w:cs="仿宋"/>
          <w:color w:val="auto"/>
          <w:lang w:val="en-US" w:eastAsia="zh-CN"/>
        </w:rPr>
      </w:pPr>
      <w:r>
        <w:rPr>
          <w:rFonts w:hint="eastAsia" w:ascii="黑体" w:hAnsi="黑体" w:eastAsia="黑体" w:cs="黑体"/>
          <w:sz w:val="32"/>
          <w:szCs w:val="32"/>
          <w:lang w:eastAsia="zh-CN"/>
        </w:rPr>
        <w:t>第四章</w:t>
      </w:r>
      <w:r>
        <w:rPr>
          <w:rFonts w:hint="eastAsia" w:ascii="黑体" w:hAnsi="黑体" w:eastAsia="黑体" w:cs="黑体"/>
          <w:sz w:val="32"/>
          <w:szCs w:val="32"/>
          <w:lang w:val="en-US" w:eastAsia="zh-CN"/>
        </w:rPr>
        <w:t xml:space="preserve">  预算绩效管理</w:t>
      </w:r>
    </w:p>
    <w:p>
      <w:pPr>
        <w:pStyle w:val="8"/>
        <w:shd w:val="clear" w:color="auto" w:fill="auto"/>
        <w:spacing w:before="0" w:after="0" w:line="560" w:lineRule="exact"/>
        <w:ind w:firstLine="632" w:firstLineChars="200"/>
        <w:jc w:val="both"/>
        <w:rPr>
          <w:rFonts w:hint="eastAsia" w:ascii="仿宋" w:hAnsi="仿宋" w:eastAsia="仿宋" w:cs="仿宋"/>
          <w:sz w:val="32"/>
          <w:szCs w:val="32"/>
          <w:lang w:eastAsia="zh-CN"/>
        </w:rPr>
      </w:pPr>
      <w:r>
        <w:rPr>
          <w:rFonts w:hint="eastAsia" w:ascii="仿宋" w:hAnsi="仿宋" w:eastAsia="仿宋" w:cs="仿宋"/>
          <w:b/>
          <w:sz w:val="32"/>
          <w:szCs w:val="32"/>
          <w:lang w:val="en-US" w:eastAsia="zh-CN"/>
        </w:rPr>
        <w:t xml:space="preserve">第十四条  </w:t>
      </w:r>
      <w:r>
        <w:rPr>
          <w:rFonts w:hint="eastAsia" w:ascii="仿宋" w:hAnsi="仿宋" w:eastAsia="仿宋" w:cs="仿宋"/>
          <w:sz w:val="32"/>
          <w:szCs w:val="32"/>
          <w:lang w:eastAsia="zh-CN"/>
        </w:rPr>
        <w:t>省教育厅负责编报专项资金绩效目标；省财政厅负责审核专项资金绩效目标并随预算指标文件同步下达。各项目单位要结合实际情况制定具体绩效目标，包括产出、效益和满意度等指标，内容应完整、细化和量化，做到可审核、可监控、可评价。</w:t>
      </w:r>
    </w:p>
    <w:p>
      <w:pPr>
        <w:pStyle w:val="8"/>
        <w:shd w:val="clear" w:color="auto" w:fill="auto"/>
        <w:spacing w:before="0" w:after="0" w:line="560" w:lineRule="exact"/>
        <w:ind w:firstLine="632" w:firstLineChars="200"/>
        <w:jc w:val="both"/>
        <w:rPr>
          <w:rFonts w:hint="eastAsia" w:ascii="仿宋" w:hAnsi="仿宋" w:eastAsia="仿宋" w:cs="仿宋"/>
          <w:sz w:val="32"/>
          <w:szCs w:val="32"/>
          <w:lang w:eastAsia="zh-CN"/>
        </w:rPr>
      </w:pPr>
      <w:r>
        <w:rPr>
          <w:rFonts w:hint="eastAsia" w:ascii="仿宋" w:hAnsi="仿宋" w:eastAsia="仿宋" w:cs="仿宋"/>
          <w:b/>
          <w:sz w:val="32"/>
          <w:szCs w:val="32"/>
          <w:lang w:eastAsia="zh-CN"/>
        </w:rPr>
        <w:t>第十五条</w:t>
      </w:r>
      <w:r>
        <w:rPr>
          <w:rFonts w:hint="eastAsia" w:ascii="仿宋" w:hAnsi="仿宋" w:eastAsia="仿宋" w:cs="仿宋"/>
          <w:b/>
          <w:sz w:val="32"/>
          <w:szCs w:val="32"/>
          <w:lang w:val="en-US" w:eastAsia="zh-CN"/>
        </w:rPr>
        <w:t xml:space="preserve">  </w:t>
      </w:r>
      <w:r>
        <w:rPr>
          <w:rFonts w:hint="eastAsia" w:ascii="仿宋" w:hAnsi="仿宋" w:eastAsia="仿宋" w:cs="仿宋"/>
          <w:sz w:val="32"/>
          <w:szCs w:val="32"/>
          <w:lang w:eastAsia="zh-CN"/>
        </w:rPr>
        <w:t>省教育厅负责对专项资金绩效目标实现程度和专项资金预算执行进度实施“双监控”，对偏离目标情况进行预警纠偏；对存在严重问题或预期低效无效的项目，暂停项目实施，经批准后依法相应调减预算并停止拨付资金。各项目单位按规定开展绩效运行监控。</w:t>
      </w:r>
    </w:p>
    <w:p>
      <w:pPr>
        <w:pStyle w:val="8"/>
        <w:shd w:val="clear" w:color="auto" w:fill="auto"/>
        <w:spacing w:before="0" w:after="0" w:line="560" w:lineRule="exact"/>
        <w:ind w:firstLine="632" w:firstLineChars="200"/>
        <w:jc w:val="both"/>
        <w:rPr>
          <w:rFonts w:hint="eastAsia" w:ascii="仿宋_GB2312" w:hAnsi="仿宋_GB2312" w:eastAsia="仿宋_GB2312" w:cs="仿宋_GB2312"/>
          <w:color w:val="0000FF"/>
          <w:sz w:val="32"/>
          <w:szCs w:val="32"/>
          <w:lang w:eastAsia="zh-CN"/>
        </w:rPr>
      </w:pPr>
      <w:r>
        <w:rPr>
          <w:rFonts w:hint="eastAsia" w:ascii="仿宋" w:hAnsi="仿宋" w:eastAsia="仿宋" w:cs="仿宋"/>
          <w:b/>
          <w:sz w:val="32"/>
          <w:szCs w:val="32"/>
          <w:lang w:eastAsia="zh-CN"/>
        </w:rPr>
        <w:t>第十六条</w:t>
      </w:r>
      <w:r>
        <w:rPr>
          <w:rFonts w:hint="eastAsia" w:ascii="仿宋" w:hAnsi="仿宋" w:eastAsia="仿宋" w:cs="仿宋"/>
          <w:b/>
          <w:sz w:val="32"/>
          <w:szCs w:val="32"/>
          <w:lang w:val="en-US" w:eastAsia="zh-CN"/>
        </w:rPr>
        <w:t xml:space="preserve">  </w:t>
      </w:r>
      <w:r>
        <w:rPr>
          <w:rFonts w:hint="eastAsia" w:ascii="仿宋" w:hAnsi="仿宋" w:eastAsia="仿宋" w:cs="仿宋"/>
          <w:sz w:val="32"/>
          <w:szCs w:val="32"/>
          <w:lang w:eastAsia="zh-CN"/>
        </w:rPr>
        <w:t>省教育厅负责对专项资金开展绩效自评，省财政厅根据工作需要对专项资金开展财政评价。各项目单位依据设定的绩效目标，对预算执行情况以及项目实施效果情况开展年度绩效自评。绩效评价结果作为改进预算管理、编制以后年度预算、安排财政资金的重要依据。</w:t>
      </w:r>
    </w:p>
    <w:p>
      <w:pPr>
        <w:pStyle w:val="8"/>
        <w:shd w:val="clear" w:color="auto" w:fill="auto"/>
        <w:spacing w:before="0" w:after="0" w:line="540" w:lineRule="exact"/>
        <w:rPr>
          <w:rFonts w:hint="eastAsia" w:eastAsia="仿宋" w:cs="仿宋"/>
          <w:color w:val="auto"/>
          <w:lang w:val="en-US" w:eastAsia="zh-CN"/>
        </w:rPr>
      </w:pPr>
      <w:r>
        <w:rPr>
          <w:rFonts w:hint="eastAsia" w:ascii="黑体" w:hAnsi="黑体" w:eastAsia="黑体" w:cs="黑体"/>
          <w:sz w:val="32"/>
          <w:szCs w:val="32"/>
          <w:lang w:eastAsia="zh-CN"/>
        </w:rPr>
        <w:t>第五章</w:t>
      </w:r>
      <w:r>
        <w:rPr>
          <w:rFonts w:hint="eastAsia" w:ascii="黑体" w:hAnsi="黑体" w:eastAsia="黑体" w:cs="黑体"/>
          <w:sz w:val="32"/>
          <w:szCs w:val="32"/>
          <w:lang w:val="en-US" w:eastAsia="zh-CN"/>
        </w:rPr>
        <w:t xml:space="preserve">  资金使用和管理</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b w:val="0"/>
          <w:bCs/>
          <w:sz w:val="32"/>
          <w:szCs w:val="32"/>
          <w:lang w:val="en-US" w:eastAsia="zh-CN"/>
        </w:rPr>
      </w:pPr>
      <w:r>
        <w:rPr>
          <w:rFonts w:hint="eastAsia" w:ascii="仿宋" w:hAnsi="仿宋" w:eastAsia="仿宋" w:cs="仿宋"/>
          <w:b/>
          <w:sz w:val="32"/>
          <w:szCs w:val="32"/>
          <w:lang w:eastAsia="zh-CN"/>
        </w:rPr>
        <w:t>第十七条</w:t>
      </w:r>
      <w:r>
        <w:rPr>
          <w:rFonts w:hint="eastAsia" w:ascii="仿宋" w:hAnsi="仿宋" w:eastAsia="仿宋" w:cs="仿宋"/>
          <w:b/>
          <w:sz w:val="32"/>
          <w:szCs w:val="32"/>
          <w:lang w:val="en-US" w:eastAsia="zh-CN"/>
        </w:rPr>
        <w:t xml:space="preserve">  </w:t>
      </w:r>
      <w:r>
        <w:rPr>
          <w:rFonts w:hint="eastAsia" w:ascii="仿宋" w:hAnsi="仿宋" w:eastAsia="仿宋" w:cs="仿宋"/>
          <w:b w:val="0"/>
          <w:bCs/>
          <w:sz w:val="32"/>
          <w:szCs w:val="32"/>
          <w:lang w:val="en-US" w:eastAsia="zh-CN"/>
        </w:rPr>
        <w:t>专项资金的拨付，按照财政资金支付管理的有关规定执行。其中涉及向市县转移支付的经费，应按预算法及其实施条例等相关规定及时下达。</w:t>
      </w:r>
    </w:p>
    <w:p>
      <w:pPr>
        <w:pStyle w:val="8"/>
        <w:shd w:val="clear" w:color="auto" w:fill="auto"/>
        <w:spacing w:before="0" w:after="0" w:line="560" w:lineRule="exact"/>
        <w:ind w:firstLine="632" w:firstLineChars="200"/>
        <w:jc w:val="both"/>
        <w:rPr>
          <w:rFonts w:hint="eastAsia" w:ascii="仿宋" w:hAnsi="仿宋" w:eastAsia="仿宋" w:cs="仿宋"/>
          <w:b w:val="0"/>
          <w:bCs/>
          <w:sz w:val="32"/>
          <w:szCs w:val="32"/>
          <w:lang w:val="en-US" w:eastAsia="zh-CN"/>
        </w:rPr>
      </w:pPr>
      <w:r>
        <w:rPr>
          <w:rFonts w:hint="eastAsia" w:ascii="仿宋" w:hAnsi="仿宋" w:eastAsia="仿宋" w:cs="仿宋"/>
          <w:b/>
          <w:bCs/>
          <w:sz w:val="32"/>
          <w:szCs w:val="32"/>
          <w:lang w:val="en-US" w:eastAsia="zh-CN"/>
        </w:rPr>
        <w:t xml:space="preserve">第十八条  </w:t>
      </w:r>
      <w:r>
        <w:rPr>
          <w:rFonts w:hint="eastAsia" w:ascii="仿宋" w:hAnsi="仿宋" w:eastAsia="仿宋" w:cs="仿宋"/>
          <w:sz w:val="32"/>
          <w:szCs w:val="32"/>
          <w:lang w:val="en-US" w:eastAsia="zh-CN"/>
        </w:rPr>
        <w:t>建立“谁使用、谁负责”的责任机制，项目承办单位要建立健全内部管理责任制，制定科学完善的项目资金使用与管理细则，加强制度约束和预算控制。</w:t>
      </w:r>
      <w:r>
        <w:rPr>
          <w:rFonts w:hint="eastAsia" w:ascii="仿宋" w:hAnsi="仿宋" w:eastAsia="仿宋" w:cs="仿宋"/>
          <w:bCs/>
          <w:sz w:val="32"/>
          <w:szCs w:val="32"/>
        </w:rPr>
        <w:t>项目</w:t>
      </w:r>
      <w:r>
        <w:rPr>
          <w:rFonts w:hint="eastAsia" w:ascii="仿宋" w:hAnsi="仿宋" w:eastAsia="仿宋" w:cs="仿宋"/>
          <w:bCs/>
          <w:sz w:val="32"/>
          <w:szCs w:val="32"/>
          <w:lang w:eastAsia="zh-CN"/>
        </w:rPr>
        <w:t>承办单位依法依规</w:t>
      </w:r>
      <w:r>
        <w:rPr>
          <w:rFonts w:hint="eastAsia" w:ascii="仿宋" w:hAnsi="仿宋" w:eastAsia="仿宋" w:cs="仿宋"/>
          <w:bCs/>
          <w:sz w:val="32"/>
          <w:szCs w:val="32"/>
        </w:rPr>
        <w:t>对资金使用的合法性、合理性和有效性负责，对项目预算执行的及时</w:t>
      </w:r>
      <w:r>
        <w:rPr>
          <w:rFonts w:hint="eastAsia" w:ascii="仿宋" w:hAnsi="仿宋" w:eastAsia="仿宋" w:cs="仿宋"/>
          <w:bCs/>
          <w:sz w:val="32"/>
          <w:szCs w:val="32"/>
          <w:lang w:eastAsia="zh-CN"/>
        </w:rPr>
        <w:t>性和效益性</w:t>
      </w:r>
      <w:r>
        <w:rPr>
          <w:rFonts w:hint="eastAsia" w:ascii="仿宋" w:hAnsi="仿宋" w:eastAsia="仿宋" w:cs="仿宋"/>
          <w:bCs/>
          <w:sz w:val="32"/>
          <w:szCs w:val="32"/>
        </w:rPr>
        <w:t>负责。</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_GB2312" w:hAnsi="仿宋_GB2312" w:eastAsia="仿宋_GB2312" w:cs="仿宋_GB2312"/>
          <w:color w:val="auto"/>
          <w:lang w:val="en-US" w:eastAsia="zh-CN"/>
        </w:rPr>
      </w:pPr>
      <w:r>
        <w:rPr>
          <w:rFonts w:hint="eastAsia" w:ascii="仿宋" w:hAnsi="仿宋" w:eastAsia="仿宋" w:cs="仿宋"/>
          <w:b/>
          <w:bCs/>
          <w:color w:val="auto"/>
          <w:lang w:val="en-US" w:eastAsia="zh-CN"/>
        </w:rPr>
        <w:t>第十九条</w:t>
      </w:r>
      <w:r>
        <w:rPr>
          <w:rFonts w:hint="eastAsia" w:ascii="仿宋" w:hAnsi="仿宋" w:eastAsia="仿宋" w:cs="仿宋"/>
          <w:color w:val="auto"/>
          <w:lang w:val="en-US" w:eastAsia="zh-CN"/>
        </w:rPr>
        <w:t xml:space="preserve"> </w:t>
      </w:r>
      <w:r>
        <w:rPr>
          <w:rFonts w:hint="eastAsia" w:ascii="仿宋" w:hAnsi="仿宋" w:eastAsia="仿宋" w:cs="仿宋"/>
          <w:color w:val="auto"/>
          <w:sz w:val="32"/>
          <w:szCs w:val="32"/>
          <w:highlight w:val="none"/>
          <w:u w:val="none"/>
        </w:rPr>
        <w:t xml:space="preserve"> </w:t>
      </w:r>
      <w:r>
        <w:rPr>
          <w:rFonts w:hint="eastAsia" w:ascii="仿宋" w:hAnsi="仿宋" w:eastAsia="仿宋" w:cs="仿宋"/>
          <w:color w:val="auto"/>
          <w:lang w:val="en-US" w:eastAsia="zh-CN"/>
        </w:rPr>
        <w:t>专项资金</w:t>
      </w:r>
      <w:r>
        <w:rPr>
          <w:rFonts w:hint="eastAsia" w:ascii="仿宋" w:hAnsi="仿宋" w:eastAsia="仿宋" w:cs="仿宋"/>
          <w:color w:val="auto"/>
          <w:sz w:val="32"/>
          <w:szCs w:val="32"/>
          <w:highlight w:val="none"/>
          <w:u w:val="none"/>
          <w:lang w:eastAsia="zh-CN"/>
        </w:rPr>
        <w:t>支付</w:t>
      </w:r>
      <w:r>
        <w:rPr>
          <w:rFonts w:hint="eastAsia" w:ascii="仿宋" w:hAnsi="仿宋" w:eastAsia="仿宋" w:cs="仿宋"/>
          <w:color w:val="auto"/>
          <w:sz w:val="32"/>
          <w:szCs w:val="32"/>
          <w:highlight w:val="none"/>
          <w:u w:val="none"/>
        </w:rPr>
        <w:t>执行国库集中支付制度。涉及政府采购的，按照政府</w:t>
      </w:r>
      <w:r>
        <w:rPr>
          <w:rFonts w:hint="eastAsia" w:ascii="仿宋" w:hAnsi="仿宋" w:eastAsia="仿宋" w:cs="仿宋"/>
          <w:color w:val="auto"/>
          <w:sz w:val="32"/>
          <w:szCs w:val="32"/>
          <w:highlight w:val="none"/>
          <w:u w:val="none"/>
          <w:lang w:eastAsia="zh-CN"/>
        </w:rPr>
        <w:t>采购</w:t>
      </w:r>
      <w:r>
        <w:rPr>
          <w:rFonts w:hint="eastAsia" w:ascii="仿宋" w:hAnsi="仿宋" w:eastAsia="仿宋" w:cs="仿宋"/>
          <w:color w:val="auto"/>
          <w:sz w:val="32"/>
          <w:szCs w:val="32"/>
          <w:highlight w:val="none"/>
          <w:u w:val="none"/>
        </w:rPr>
        <w:t>有关</w:t>
      </w:r>
      <w:r>
        <w:rPr>
          <w:rFonts w:hint="eastAsia" w:ascii="仿宋" w:hAnsi="仿宋" w:eastAsia="仿宋" w:cs="仿宋"/>
          <w:color w:val="auto"/>
          <w:sz w:val="32"/>
          <w:szCs w:val="32"/>
          <w:highlight w:val="none"/>
          <w:u w:val="none"/>
          <w:lang w:eastAsia="zh-CN"/>
        </w:rPr>
        <w:t>规定</w:t>
      </w:r>
      <w:r>
        <w:rPr>
          <w:rFonts w:hint="eastAsia" w:ascii="仿宋" w:hAnsi="仿宋" w:eastAsia="仿宋" w:cs="仿宋"/>
          <w:color w:val="auto"/>
          <w:sz w:val="32"/>
          <w:szCs w:val="32"/>
          <w:highlight w:val="none"/>
          <w:u w:val="none"/>
        </w:rPr>
        <w:t>执行。</w:t>
      </w:r>
      <w:r>
        <w:rPr>
          <w:rFonts w:hint="eastAsia" w:ascii="仿宋" w:hAnsi="仿宋" w:eastAsia="仿宋" w:cs="仿宋"/>
          <w:color w:val="auto"/>
          <w:lang w:val="en-US" w:eastAsia="zh-CN"/>
        </w:rPr>
        <w:t>专项资金应当按照资金的用途和范围分配使用，不得用于人员工资性经费支出、偿还债务、支付利息、对外投资等。项目承办单位可在所承担项目间统筹使用经费，项目任务完成后的结余资金可用于课程资源建设购置等。</w:t>
      </w:r>
    </w:p>
    <w:p>
      <w:pPr>
        <w:pStyle w:val="8"/>
        <w:shd w:val="clear" w:color="auto" w:fill="auto"/>
        <w:spacing w:before="0" w:after="0" w:line="540" w:lineRule="exact"/>
        <w:rPr>
          <w:rFonts w:hint="eastAsia" w:eastAsia="仿宋" w:cs="仿宋"/>
          <w:color w:val="auto"/>
          <w:lang w:val="en-US" w:eastAsia="zh-CN"/>
        </w:rPr>
      </w:pPr>
      <w:r>
        <w:rPr>
          <w:rFonts w:hint="eastAsia" w:ascii="黑体" w:hAnsi="黑体" w:eastAsia="黑体" w:cs="黑体"/>
          <w:sz w:val="32"/>
          <w:szCs w:val="32"/>
          <w:lang w:eastAsia="zh-CN"/>
        </w:rPr>
        <w:t>第六章</w:t>
      </w:r>
      <w:r>
        <w:rPr>
          <w:rFonts w:hint="eastAsia" w:ascii="黑体" w:hAnsi="黑体" w:eastAsia="黑体" w:cs="黑体"/>
          <w:sz w:val="32"/>
          <w:szCs w:val="32"/>
          <w:lang w:val="en-US" w:eastAsia="zh-CN"/>
        </w:rPr>
        <w:t xml:space="preserve">  监督检查</w:t>
      </w:r>
    </w:p>
    <w:p>
      <w:pPr>
        <w:spacing w:line="560" w:lineRule="exact"/>
        <w:ind w:firstLine="632" w:firstLineChars="200"/>
        <w:rPr>
          <w:rFonts w:hint="eastAsia" w:ascii="仿宋" w:hAnsi="仿宋" w:eastAsia="仿宋" w:cs="仿宋"/>
          <w:b/>
          <w:bCs/>
          <w:color w:val="auto"/>
          <w:lang w:val="en-US" w:eastAsia="zh-CN"/>
        </w:rPr>
      </w:pPr>
      <w:r>
        <w:rPr>
          <w:rFonts w:hint="eastAsia" w:ascii="仿宋" w:hAnsi="仿宋" w:eastAsia="仿宋" w:cs="仿宋"/>
          <w:b/>
          <w:bCs/>
          <w:sz w:val="32"/>
          <w:szCs w:val="32"/>
          <w:lang w:eastAsia="zh-CN"/>
        </w:rPr>
        <w:t>第二十条</w:t>
      </w:r>
      <w:r>
        <w:rPr>
          <w:rFonts w:hint="eastAsia" w:ascii="仿宋" w:hAnsi="仿宋" w:eastAsia="仿宋" w:cs="仿宋"/>
          <w:bCs/>
          <w:sz w:val="32"/>
          <w:szCs w:val="32"/>
          <w:lang w:eastAsia="zh-CN"/>
        </w:rPr>
        <w:t xml:space="preserve">  项目承办单位应遵守国家财政、财务规章制度和财经纪律，加强专项资金内部监督管理，自觉接受财政、审计、教育等部门的监督和检查。</w:t>
      </w:r>
    </w:p>
    <w:p>
      <w:pPr>
        <w:spacing w:line="560" w:lineRule="exact"/>
        <w:ind w:firstLine="632" w:firstLineChars="200"/>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eastAsia="zh-CN"/>
        </w:rPr>
        <w:t>一</w:t>
      </w:r>
      <w:r>
        <w:rPr>
          <w:rFonts w:hint="eastAsia" w:ascii="仿宋" w:hAnsi="仿宋" w:eastAsia="仿宋" w:cs="仿宋"/>
          <w:b/>
          <w:bCs/>
          <w:sz w:val="32"/>
          <w:szCs w:val="32"/>
        </w:rPr>
        <w:t>条</w:t>
      </w:r>
      <w:r>
        <w:rPr>
          <w:rFonts w:hint="eastAsia" w:ascii="仿宋" w:hAnsi="仿宋" w:eastAsia="仿宋" w:cs="仿宋"/>
          <w:bCs/>
          <w:sz w:val="32"/>
          <w:szCs w:val="32"/>
        </w:rPr>
        <w:t xml:space="preserve">  </w:t>
      </w:r>
      <w:r>
        <w:rPr>
          <w:rFonts w:hint="eastAsia" w:ascii="仿宋" w:hAnsi="仿宋" w:eastAsia="仿宋" w:cs="仿宋"/>
          <w:color w:val="000000"/>
          <w:sz w:val="32"/>
          <w:szCs w:val="32"/>
        </w:rPr>
        <w:t>专项资金使用管理中存在虚报、截留、挪用等违法行为的，除责令将资金归还原有渠道或收回财政外，</w:t>
      </w:r>
      <w:r>
        <w:rPr>
          <w:rFonts w:hint="eastAsia" w:ascii="仿宋" w:hAnsi="仿宋" w:eastAsia="仿宋" w:cs="仿宋"/>
          <w:color w:val="000000"/>
          <w:kern w:val="0"/>
          <w:sz w:val="32"/>
          <w:szCs w:val="32"/>
        </w:rPr>
        <w:t>应当按照《</w:t>
      </w:r>
      <w:r>
        <w:rPr>
          <w:rFonts w:hint="eastAsia" w:ascii="仿宋" w:hAnsi="仿宋" w:eastAsia="仿宋" w:cs="仿宋"/>
          <w:color w:val="000000"/>
          <w:kern w:val="0"/>
          <w:sz w:val="32"/>
          <w:szCs w:val="32"/>
          <w:lang w:eastAsia="zh-CN"/>
        </w:rPr>
        <w:t>中华人民共和国</w:t>
      </w:r>
      <w:r>
        <w:rPr>
          <w:rFonts w:hint="eastAsia" w:ascii="仿宋" w:hAnsi="仿宋" w:eastAsia="仿宋" w:cs="仿宋"/>
          <w:color w:val="000000"/>
          <w:kern w:val="0"/>
          <w:sz w:val="32"/>
          <w:szCs w:val="32"/>
        </w:rPr>
        <w:t>预算法》《财政违法行为处罚处分条例》等有关规定对相关部门和单位予以处理，并依法追究相关责任人的</w:t>
      </w:r>
      <w:r>
        <w:rPr>
          <w:rFonts w:hint="eastAsia" w:ascii="仿宋" w:hAnsi="仿宋" w:eastAsia="仿宋" w:cs="仿宋"/>
          <w:color w:val="000000"/>
          <w:kern w:val="0"/>
          <w:sz w:val="32"/>
          <w:szCs w:val="32"/>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4" name="barcode" descr="9011001220009304"/>
            <wp:cNvGraphicFramePr/>
            <a:graphic xmlns:a="http://schemas.openxmlformats.org/drawingml/2006/main">
              <a:graphicData uri="http://schemas.openxmlformats.org/drawingml/2006/picture">
                <pic:pic xmlns:pic="http://schemas.openxmlformats.org/drawingml/2006/picture">
                  <pic:nvPicPr>
                    <pic:cNvPr id="4" name="barcode" descr="9011001220009304"/>
                    <pic:cNvPicPr/>
                  </pic:nvPicPr>
                  <pic:blipFill>
                    <a:blip r:embed="rId8"/>
                    <a:stretch>
                      <a:fillRect/>
                    </a:stretch>
                  </pic:blipFill>
                  <pic:spPr>
                    <a:xfrm>
                      <a:off x="0" y="0"/>
                      <a:ext cx="1892300" cy="444500"/>
                    </a:xfrm>
                    <a:prstGeom prst="rect">
                      <a:avLst/>
                    </a:prstGeom>
                  </pic:spPr>
                </pic:pic>
              </a:graphicData>
            </a:graphic>
          </wp:anchor>
        </w:drawing>
      </w:r>
      <w:r>
        <w:rPr>
          <w:rFonts w:hint="eastAsia" w:ascii="仿宋" w:hAnsi="仿宋" w:eastAsia="仿宋" w:cs="仿宋"/>
          <w:color w:val="000000"/>
          <w:kern w:val="0"/>
          <w:sz w:val="32"/>
          <w:szCs w:val="32"/>
        </w:rPr>
        <w:t>责任。</w:t>
      </w:r>
      <w:r>
        <w:rPr>
          <w:rFonts w:hint="eastAsia" w:ascii="仿宋" w:hAnsi="仿宋" w:eastAsia="仿宋" w:cs="仿宋"/>
          <w:color w:val="000000"/>
          <w:sz w:val="32"/>
          <w:szCs w:val="32"/>
        </w:rPr>
        <w:t>构成犯罪的，依法移送司法机关。</w:t>
      </w:r>
    </w:p>
    <w:p>
      <w:pPr>
        <w:snapToGrid w:val="0"/>
        <w:spacing w:line="540" w:lineRule="exact"/>
        <w:jc w:val="center"/>
        <w:rPr>
          <w:rFonts w:hint="eastAsia" w:eastAsia="仿宋" w:cs="仿宋"/>
          <w:b/>
          <w:bCs/>
          <w:color w:val="auto"/>
          <w:lang w:val="en-US" w:eastAsia="zh-CN"/>
        </w:rPr>
      </w:pPr>
      <w:r>
        <w:rPr>
          <w:rFonts w:hint="eastAsia" w:ascii="黑体" w:hAnsi="黑体" w:eastAsia="黑体"/>
          <w:sz w:val="32"/>
          <w:szCs w:val="32"/>
        </w:rPr>
        <w:t>第</w:t>
      </w:r>
      <w:r>
        <w:rPr>
          <w:rFonts w:hint="eastAsia" w:ascii="黑体" w:hAnsi="黑体" w:eastAsia="黑体"/>
          <w:sz w:val="32"/>
          <w:szCs w:val="32"/>
          <w:lang w:eastAsia="zh-CN"/>
        </w:rPr>
        <w:t>七</w:t>
      </w:r>
      <w:r>
        <w:rPr>
          <w:rFonts w:hint="eastAsia" w:ascii="黑体" w:hAnsi="黑体" w:eastAsia="黑体"/>
          <w:sz w:val="32"/>
          <w:szCs w:val="32"/>
        </w:rPr>
        <w:t>章  附则</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 xml:space="preserve">第二十二条 </w:t>
      </w:r>
      <w:r>
        <w:rPr>
          <w:rFonts w:hint="eastAsia" w:ascii="仿宋" w:hAnsi="仿宋" w:eastAsia="仿宋" w:cs="仿宋"/>
          <w:color w:val="auto"/>
          <w:lang w:val="en-US" w:eastAsia="zh-CN"/>
        </w:rPr>
        <w:t>本办法由省财政厅、省教育厅负责解释。</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第二十三条</w:t>
      </w:r>
      <w:r>
        <w:rPr>
          <w:rFonts w:hint="eastAsia" w:ascii="仿宋" w:hAnsi="仿宋" w:eastAsia="仿宋" w:cs="仿宋"/>
          <w:color w:val="auto"/>
          <w:lang w:val="en-US" w:eastAsia="zh-CN"/>
        </w:rPr>
        <w:t xml:space="preserve"> 本办法自印发之日起实施，有效期至2024年12月31日。《福建省财政厅 福建省教育厅关于印发福建省教师队伍建设专项资金管理办法的通知》（闽财教〔2019〕16号）同时废止。</w:t>
      </w:r>
    </w:p>
    <w:tbl>
      <w:tblPr>
        <w:tblStyle w:val="4"/>
        <w:tblpPr w:leftFromText="180" w:rightFromText="180" w:vertAnchor="page" w:horzAnchor="page" w:tblpX="1612" w:tblpY="13567"/>
        <w:tblOverlap w:val="never"/>
        <w:tblW w:w="4977" w:type="pct"/>
        <w:tblInd w:w="0" w:type="dxa"/>
        <w:tblLayout w:type="autofit"/>
        <w:tblCellMar>
          <w:top w:w="0" w:type="dxa"/>
          <w:left w:w="0" w:type="dxa"/>
          <w:bottom w:w="0" w:type="dxa"/>
          <w:right w:w="0" w:type="dxa"/>
        </w:tblCellMar>
      </w:tblPr>
      <w:tblGrid>
        <w:gridCol w:w="4217"/>
        <w:gridCol w:w="4587"/>
      </w:tblGrid>
      <w:tr>
        <w:tblPrEx>
          <w:tblCellMar>
            <w:top w:w="0" w:type="dxa"/>
            <w:left w:w="0" w:type="dxa"/>
            <w:bottom w:w="0" w:type="dxa"/>
            <w:right w:w="0" w:type="dxa"/>
          </w:tblCellMar>
        </w:tblPrEx>
        <w:trPr>
          <w:trHeight w:val="567" w:hRule="atLeast"/>
        </w:trPr>
        <w:tc>
          <w:tcPr>
            <w:tcW w:w="5000" w:type="pct"/>
            <w:gridSpan w:val="2"/>
            <w:tcBorders>
              <w:top w:val="nil"/>
              <w:left w:val="nil"/>
              <w:bottom w:val="single" w:color="auto" w:sz="12" w:space="0"/>
              <w:right w:val="nil"/>
            </w:tcBorders>
            <w:noWrap w:val="0"/>
            <w:vAlign w:val="center"/>
          </w:tcPr>
          <w:p>
            <w:pPr>
              <w:spacing w:after="100" w:afterAutospacing="1" w:line="460" w:lineRule="exact"/>
              <w:ind w:right="205" w:rightChars="65" w:firstLine="276" w:firstLineChars="100"/>
              <w:textAlignment w:val="bottom"/>
              <w:rPr>
                <w:rFonts w:hint="eastAsia" w:ascii="仿宋" w:hAnsi="仿宋" w:eastAsia="仿宋" w:cs="仿宋_GB2312"/>
                <w:color w:val="000000"/>
                <w:sz w:val="28"/>
                <w:szCs w:val="28"/>
                <w:lang w:eastAsia="zh-CN"/>
              </w:rPr>
            </w:pPr>
            <w:r>
              <w:rPr>
                <w:rFonts w:hint="eastAsia" w:ascii="仿宋" w:hAnsi="仿宋" w:eastAsia="仿宋" w:cs="仿宋_GB2312"/>
                <w:color w:val="000000"/>
                <w:sz w:val="28"/>
                <w:szCs w:val="28"/>
              </w:rPr>
              <w:t>信息公开类型：</w:t>
            </w:r>
            <w:r>
              <w:rPr>
                <w:rFonts w:hint="eastAsia" w:ascii="仿宋" w:hAnsi="仿宋" w:eastAsia="仿宋" w:cs="仿宋_GB2312"/>
                <w:color w:val="000000"/>
                <w:sz w:val="28"/>
                <w:szCs w:val="28"/>
                <w:lang w:eastAsia="zh-CN"/>
              </w:rPr>
              <w:t>主动公开</w:t>
            </w:r>
          </w:p>
        </w:tc>
      </w:tr>
      <w:tr>
        <w:tblPrEx>
          <w:tblCellMar>
            <w:top w:w="0" w:type="dxa"/>
            <w:left w:w="0" w:type="dxa"/>
            <w:bottom w:w="0" w:type="dxa"/>
            <w:right w:w="0" w:type="dxa"/>
          </w:tblCellMar>
        </w:tblPrEx>
        <w:trPr>
          <w:trHeight w:val="510" w:hRule="atLeast"/>
        </w:trPr>
        <w:tc>
          <w:tcPr>
            <w:tcW w:w="2395" w:type="pct"/>
            <w:tcBorders>
              <w:top w:val="single" w:color="auto" w:sz="8" w:space="0"/>
              <w:left w:val="nil"/>
              <w:bottom w:val="single" w:color="auto" w:sz="12" w:space="0"/>
              <w:right w:val="nil"/>
            </w:tcBorders>
            <w:noWrap w:val="0"/>
            <w:vAlign w:val="center"/>
          </w:tcPr>
          <w:p>
            <w:pPr>
              <w:spacing w:after="100" w:line="460" w:lineRule="exact"/>
              <w:ind w:right="205" w:rightChars="65" w:firstLine="276" w:firstLineChars="100"/>
              <w:rPr>
                <w:rFonts w:ascii="仿宋" w:hAnsi="仿宋" w:eastAsia="仿宋"/>
                <w:color w:val="000000"/>
                <w:sz w:val="28"/>
                <w:szCs w:val="28"/>
              </w:rPr>
            </w:pPr>
            <w:r>
              <w:rPr>
                <w:rFonts w:hint="eastAsia" w:ascii="仿宋" w:hAnsi="仿宋" w:eastAsia="仿宋" w:cs="仿宋_GB2312"/>
                <w:color w:val="000000"/>
                <w:sz w:val="28"/>
                <w:szCs w:val="28"/>
              </w:rPr>
              <w:t>福建省财政厅办公室</w:t>
            </w:r>
          </w:p>
        </w:tc>
        <w:tc>
          <w:tcPr>
            <w:tcW w:w="2604" w:type="pct"/>
            <w:tcBorders>
              <w:top w:val="single" w:color="auto" w:sz="8" w:space="0"/>
              <w:left w:val="nil"/>
              <w:bottom w:val="single" w:color="auto" w:sz="12" w:space="0"/>
              <w:right w:val="nil"/>
            </w:tcBorders>
            <w:noWrap w:val="0"/>
            <w:vAlign w:val="center"/>
          </w:tcPr>
          <w:p>
            <w:pPr>
              <w:wordWrap w:val="0"/>
              <w:spacing w:after="100" w:afterAutospacing="1" w:line="460" w:lineRule="exact"/>
              <w:ind w:right="205" w:rightChars="65" w:firstLine="1104" w:firstLineChars="400"/>
              <w:jc w:val="both"/>
              <w:textAlignment w:val="bottom"/>
              <w:rPr>
                <w:rFonts w:ascii="仿宋_GB2312" w:eastAsia="仿宋_GB2312"/>
                <w:color w:val="000000"/>
                <w:sz w:val="28"/>
                <w:szCs w:val="28"/>
              </w:rPr>
            </w:pPr>
            <w:r>
              <w:rPr>
                <w:rFonts w:hint="eastAsia" w:ascii="仿宋" w:hAnsi="仿宋" w:eastAsia="仿宋" w:cs="仿宋_GB2312"/>
                <w:color w:val="000000"/>
                <w:sz w:val="28"/>
                <w:szCs w:val="28"/>
                <w:lang w:eastAsia="zh-CN"/>
              </w:rPr>
              <w:t>2022年</w:t>
            </w:r>
            <w:r>
              <w:rPr>
                <w:rFonts w:hint="default" w:ascii="仿宋" w:hAnsi="仿宋" w:eastAsia="仿宋" w:cs="仿宋_GB2312"/>
                <w:color w:val="000000"/>
                <w:sz w:val="28"/>
                <w:szCs w:val="28"/>
                <w:lang w:val="en" w:eastAsia="zh-CN"/>
              </w:rPr>
              <w:t>6</w:t>
            </w:r>
            <w:r>
              <w:rPr>
                <w:rFonts w:hint="eastAsia" w:ascii="仿宋" w:hAnsi="仿宋" w:eastAsia="仿宋" w:cs="仿宋_GB2312"/>
                <w:color w:val="000000"/>
                <w:sz w:val="28"/>
                <w:szCs w:val="28"/>
                <w:lang w:eastAsia="zh-CN"/>
              </w:rPr>
              <w:t>月</w:t>
            </w:r>
            <w:r>
              <w:rPr>
                <w:rFonts w:hint="default" w:ascii="仿宋" w:hAnsi="仿宋" w:eastAsia="仿宋" w:cs="仿宋_GB2312"/>
                <w:color w:val="000000"/>
                <w:sz w:val="28"/>
                <w:szCs w:val="28"/>
                <w:lang w:val="en" w:eastAsia="zh-CN"/>
              </w:rPr>
              <w:t>30</w:t>
            </w:r>
            <w:r>
              <w:rPr>
                <w:rFonts w:hint="eastAsia" w:ascii="仿宋" w:hAnsi="仿宋" w:eastAsia="仿宋" w:cs="仿宋_GB2312"/>
                <w:color w:val="000000"/>
                <w:sz w:val="28"/>
                <w:szCs w:val="28"/>
                <w:lang w:eastAsia="zh-CN"/>
              </w:rPr>
              <w:t>日</w:t>
            </w:r>
            <w:r>
              <w:rPr>
                <w:rFonts w:hint="eastAsia" w:ascii="仿宋" w:hAnsi="仿宋" w:eastAsia="仿宋" w:cs="仿宋_GB2312"/>
                <w:color w:val="000000"/>
                <w:sz w:val="28"/>
                <w:szCs w:val="28"/>
              </w:rPr>
              <w:t>印发</w:t>
            </w:r>
            <w:r>
              <w:rPr>
                <w:rFonts w:hint="eastAsia" w:ascii="仿宋_GB2312" w:eastAsia="仿宋_GB2312" w:cs="仿宋_GB2312"/>
                <w:color w:val="000000"/>
                <w:sz w:val="28"/>
                <w:szCs w:val="28"/>
              </w:rPr>
              <w:t xml:space="preserve">  </w:t>
            </w:r>
          </w:p>
        </w:tc>
      </w:tr>
    </w:tbl>
    <w:p>
      <w:pPr>
        <w:rPr>
          <w:rFonts w:hint="eastAsia" w:ascii="仿宋" w:hAnsi="仿宋" w:eastAsia="仿宋" w:cs="仿宋"/>
          <w:color w:val="000000"/>
          <w:sz w:val="32"/>
          <w:szCs w:val="32"/>
        </w:rPr>
      </w:pPr>
      <w:bookmarkStart w:id="5" w:name="PO_ffj"/>
      <w:bookmarkEnd w:id="5"/>
    </w:p>
    <w:p>
      <w:pPr>
        <w:rPr>
          <w:rFonts w:hint="default" w:ascii="仿宋" w:hAnsi="仿宋" w:eastAsia="仿宋" w:cs="仿宋"/>
          <w:color w:val="000000"/>
          <w:sz w:val="32"/>
          <w:szCs w:val="32"/>
          <w:lang w:val="en"/>
        </w:rPr>
      </w:pPr>
      <w:bookmarkStart w:id="6" w:name="PO_fyz"/>
      <w:bookmarkEnd w:id="6"/>
      <w:r>
        <w:rPr>
          <w:rFonts w:hint="eastAsia" w:ascii="仿宋" w:hAnsi="仿宋" w:eastAsia="仿宋" w:cs="仿宋"/>
          <w:color w:val="000000"/>
          <w:sz w:val="32"/>
          <w:szCs w:val="32"/>
        </w:rPr>
        <w:t>　　</w:t>
      </w:r>
      <w:bookmarkStart w:id="7" w:name="PO_ffz"/>
      <w:r>
        <w:rPr>
          <w:rFonts w:hint="default" w:ascii="仿宋" w:hAnsi="仿宋" w:eastAsia="仿宋" w:cs="仿宋"/>
          <w:color w:val="000000"/>
          <w:sz w:val="32"/>
          <w:szCs w:val="32"/>
          <w:lang w:val="en"/>
        </w:rPr>
        <w:t xml:space="preserve"> </w:t>
      </w:r>
      <w:bookmarkEnd w:id="7"/>
    </w:p>
    <w:p>
      <w:pPr>
        <w:rPr>
          <w:rFonts w:hint="eastAsia" w:ascii="仿宋" w:hAnsi="仿宋" w:eastAsia="仿宋" w:cs="仿宋"/>
          <w:sz w:val="32"/>
          <w:szCs w:val="36"/>
        </w:rPr>
      </w:pPr>
    </w:p>
    <w:p>
      <w:pPr>
        <w:rPr>
          <w:rFonts w:hint="eastAsia" w:ascii="仿宋" w:hAnsi="仿宋" w:eastAsia="仿宋" w:cs="仿宋"/>
          <w:sz w:val="32"/>
          <w:szCs w:val="32"/>
        </w:rPr>
      </w:pPr>
    </w:p>
    <w:sectPr>
      <w:headerReference r:id="rId3" w:type="default"/>
      <w:footerReference r:id="rId5" w:type="default"/>
      <w:headerReference r:id="rId4" w:type="even"/>
      <w:footerReference r:id="rId6" w:type="even"/>
      <w:pgSz w:w="11906" w:h="16838"/>
      <w:pgMar w:top="2098" w:right="1474" w:bottom="1984" w:left="1587" w:header="851" w:footer="992" w:gutter="0"/>
      <w:pgNumType w:fmt="numberInDash"/>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320" w:rightChars="1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ind w:right="320" w:rightChars="1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ind w:left="320" w:leftChars="100" w:right="0" w:firstLine="0" w:firstLineChars="0"/>
                    </w:pP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053487"/>
    <w:multiLevelType w:val="singleLevel"/>
    <w:tmpl w:val="E705348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72E52"/>
    <w:rsid w:val="000B3399"/>
    <w:rsid w:val="000E291E"/>
    <w:rsid w:val="000E6968"/>
    <w:rsid w:val="00116C7A"/>
    <w:rsid w:val="00145C75"/>
    <w:rsid w:val="001538F6"/>
    <w:rsid w:val="001745DC"/>
    <w:rsid w:val="001851DD"/>
    <w:rsid w:val="001865AB"/>
    <w:rsid w:val="00195B6A"/>
    <w:rsid w:val="001B667D"/>
    <w:rsid w:val="002269D4"/>
    <w:rsid w:val="00231764"/>
    <w:rsid w:val="00245BD9"/>
    <w:rsid w:val="00253BD6"/>
    <w:rsid w:val="00283713"/>
    <w:rsid w:val="002C0472"/>
    <w:rsid w:val="002D060D"/>
    <w:rsid w:val="00317448"/>
    <w:rsid w:val="003407EA"/>
    <w:rsid w:val="00354EA9"/>
    <w:rsid w:val="003828FA"/>
    <w:rsid w:val="00396E4C"/>
    <w:rsid w:val="003A09E7"/>
    <w:rsid w:val="00410875"/>
    <w:rsid w:val="00430145"/>
    <w:rsid w:val="00461224"/>
    <w:rsid w:val="00472F9E"/>
    <w:rsid w:val="00475982"/>
    <w:rsid w:val="0048765D"/>
    <w:rsid w:val="004B2FE4"/>
    <w:rsid w:val="004D3B32"/>
    <w:rsid w:val="004E4405"/>
    <w:rsid w:val="005911D6"/>
    <w:rsid w:val="005978EB"/>
    <w:rsid w:val="005D42F2"/>
    <w:rsid w:val="005D5EA3"/>
    <w:rsid w:val="005E7243"/>
    <w:rsid w:val="005E7BDD"/>
    <w:rsid w:val="006614BA"/>
    <w:rsid w:val="0066178F"/>
    <w:rsid w:val="00691574"/>
    <w:rsid w:val="00692022"/>
    <w:rsid w:val="006A3DF8"/>
    <w:rsid w:val="006C73D7"/>
    <w:rsid w:val="00712027"/>
    <w:rsid w:val="00726EF9"/>
    <w:rsid w:val="00750D7C"/>
    <w:rsid w:val="0079728D"/>
    <w:rsid w:val="007C193A"/>
    <w:rsid w:val="007C569E"/>
    <w:rsid w:val="007E5E0D"/>
    <w:rsid w:val="007F3A72"/>
    <w:rsid w:val="00804A05"/>
    <w:rsid w:val="0087156E"/>
    <w:rsid w:val="0088476D"/>
    <w:rsid w:val="008A0FF1"/>
    <w:rsid w:val="008B6098"/>
    <w:rsid w:val="008E2231"/>
    <w:rsid w:val="00982794"/>
    <w:rsid w:val="009C7120"/>
    <w:rsid w:val="009E611E"/>
    <w:rsid w:val="009E7ED0"/>
    <w:rsid w:val="009F6E0B"/>
    <w:rsid w:val="00A239A5"/>
    <w:rsid w:val="00A26E0B"/>
    <w:rsid w:val="00A32370"/>
    <w:rsid w:val="00A75DE6"/>
    <w:rsid w:val="00A8598A"/>
    <w:rsid w:val="00A9035B"/>
    <w:rsid w:val="00AB00BB"/>
    <w:rsid w:val="00B31BED"/>
    <w:rsid w:val="00B34692"/>
    <w:rsid w:val="00B47EE3"/>
    <w:rsid w:val="00BC54D6"/>
    <w:rsid w:val="00BD6C8F"/>
    <w:rsid w:val="00BE0177"/>
    <w:rsid w:val="00BF17B9"/>
    <w:rsid w:val="00C37F2A"/>
    <w:rsid w:val="00C52395"/>
    <w:rsid w:val="00C60497"/>
    <w:rsid w:val="00C7277C"/>
    <w:rsid w:val="00C8215B"/>
    <w:rsid w:val="00C909AD"/>
    <w:rsid w:val="00C95624"/>
    <w:rsid w:val="00CB6A69"/>
    <w:rsid w:val="00CC1487"/>
    <w:rsid w:val="00D841E3"/>
    <w:rsid w:val="00DA3F99"/>
    <w:rsid w:val="00DC0D99"/>
    <w:rsid w:val="00DE1F26"/>
    <w:rsid w:val="00DE3ED6"/>
    <w:rsid w:val="00DF3572"/>
    <w:rsid w:val="00E06983"/>
    <w:rsid w:val="00E32094"/>
    <w:rsid w:val="00E503FB"/>
    <w:rsid w:val="00F4723B"/>
    <w:rsid w:val="00F954E9"/>
    <w:rsid w:val="00FC58D3"/>
    <w:rsid w:val="028528E4"/>
    <w:rsid w:val="03352888"/>
    <w:rsid w:val="04AC5B5A"/>
    <w:rsid w:val="216915F0"/>
    <w:rsid w:val="24B726DC"/>
    <w:rsid w:val="34FD8DE6"/>
    <w:rsid w:val="3C732D21"/>
    <w:rsid w:val="3C7671BF"/>
    <w:rsid w:val="3FD634FB"/>
    <w:rsid w:val="4103650A"/>
    <w:rsid w:val="4AB32DE6"/>
    <w:rsid w:val="4BD227FC"/>
    <w:rsid w:val="570E6174"/>
    <w:rsid w:val="57FFF923"/>
    <w:rsid w:val="5A815D32"/>
    <w:rsid w:val="5DF5346E"/>
    <w:rsid w:val="5FFE456B"/>
    <w:rsid w:val="63EF44F2"/>
    <w:rsid w:val="66EB4F65"/>
    <w:rsid w:val="67EC6F49"/>
    <w:rsid w:val="6FB1CCBE"/>
    <w:rsid w:val="769E650B"/>
    <w:rsid w:val="76FFAB4D"/>
    <w:rsid w:val="77F332B3"/>
    <w:rsid w:val="7EDF429F"/>
    <w:rsid w:val="7EFF6425"/>
    <w:rsid w:val="C9FB471B"/>
    <w:rsid w:val="D4FF3392"/>
    <w:rsid w:val="E97F16FE"/>
    <w:rsid w:val="EF4BED2C"/>
    <w:rsid w:val="F7EFB7C1"/>
    <w:rsid w:val="FDFE8642"/>
    <w:rsid w:val="FE7D1FC5"/>
    <w:rsid w:val="FE9F8ABC"/>
    <w:rsid w:val="FEBCB6AF"/>
    <w:rsid w:val="FF7406BB"/>
    <w:rsid w:val="FF9FE2BE"/>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rPr>
      <w:rFonts w:ascii="Times New Roman" w:hAnsi="Times New Roman" w:eastAsia="宋体" w:cs="Times New Roman"/>
    </w:rPr>
  </w:style>
  <w:style w:type="paragraph" w:customStyle="1" w:styleId="8">
    <w:name w:val="正文文本 (2)"/>
    <w:basedOn w:val="1"/>
    <w:qFormat/>
    <w:uiPriority w:val="99"/>
    <w:pPr>
      <w:shd w:val="clear" w:color="auto" w:fill="FFFFFF"/>
      <w:spacing w:before="720" w:after="1320" w:line="240" w:lineRule="atLeast"/>
      <w:jc w:val="center"/>
    </w:pPr>
    <w:rPr>
      <w:rFonts w:ascii="MingLiU" w:hAnsi="MingLiU" w:eastAsia="MingLiU" w:cs="MingLiU"/>
      <w:sz w:val="30"/>
      <w:szCs w:val="30"/>
    </w:rPr>
  </w:style>
  <w:style w:type="paragraph" w:styleId="9">
    <w:name w:val="List Paragraph"/>
    <w:basedOn w:val="1"/>
    <w:semiHidden/>
    <w:unhideWhenUsed/>
    <w:qFormat/>
    <w:uiPriority w:val="99"/>
    <w:pPr>
      <w:ind w:firstLine="420" w:firstLineChars="200"/>
    </w:pPr>
    <w:rPr>
      <w:rFonts w:ascii="Calibri" w:hAnsi="Calibri" w:eastAsia="宋体"/>
      <w:color w:val="auto"/>
      <w:sz w:val="21"/>
      <w:szCs w:val="22"/>
    </w:rPr>
  </w:style>
  <w:style w:type="paragraph" w:customStyle="1" w:styleId="10">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2887</Words>
  <Characters>2932</Characters>
  <Lines>1</Lines>
  <Paragraphs>1</Paragraphs>
  <TotalTime>1</TotalTime>
  <ScaleCrop>false</ScaleCrop>
  <LinksUpToDate>false</LinksUpToDate>
  <CharactersWithSpaces>3010</CharactersWithSpaces>
  <Application>WPS Office_11.8.2.11542_F1E327BC-269C-435d-A152-05C5408002CA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2019-12-24T12:26:00Z</dcterms:created>
  <dc:creator>duan z</dc:creator>
  <cp:lastModifiedBy>admin</cp:lastModifiedBy>
  <cp:lastPrinted>2022-05-27T09:39:00Z</cp:lastPrinted>
  <dcterms:modified xsi:type="dcterms:W3CDTF">2022-07-12T09:16:41Z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1B15C2FFD66C42CDB99B6C930DB67496</vt:lpwstr>
  </property>
</Properties>
</file>